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BinSchGerG</w:t>
      </w:r>
    </w:p>
    <w:p>
      <w:r>
        <w:rPr>
          <w:color w:val="555555"/>
          <w:sz w:val="18"/>
        </w:rPr>
        <w:t xml:space="preserve">Gesetz über das gerichtliche Verfahren in Binnenschiffahrtssachen</w:t>
      </w:r>
    </w:p>
    <w:p>
      <w:r>
        <w:rPr>
          <w:color w:val="555555"/>
          <w:sz w:val="18"/>
        </w:rPr>
        <w:t xml:space="preserve">Stand: 10.06.2019 (konsolidierte Textfassung, kein amtliches Inkrafttretensdatum)</w:t>
      </w:r>
    </w:p>
    <w:p>
      <w:r>
        <w:t xml:space="preserve">(1) In Binnenschiffahrtssachen, die Rheinschiffahrtssachen sind, gelten die Vorschriften des ersten Abschnitts dieses Gesetzes nur, soweit sich aus den Bestimmungen der Revidierten Rheinschiffahrtsakte vom 17. Oktober 1868 und den §§ 15 bis 18 dieses Gesetzes nichts anderes ergibt.</w:t>
      </w:r>
    </w:p>
    <w:p>
      <w:r>
        <w:t xml:space="preserve">(2) Rheinschiffahrtssachen sind nur die in den Artikeln 34 und 34 * Kl bis der Revidierten Rheinschiffahrtsakte bezeichneten bürgerlichen Rechtsstreitigkeiten und Straf- sowie Bußgeldsachen, die sich auf Vorgänge auf dem Rhein abwärts von der deutsch-schweizerischen Grenze bei Basel beziehen. Ein bürgerlicher Rechtsstreit gilt nicht als Rheinschiffahrtssache, wenn die Parteien die Zuständigkeit eines Gerichts vereinbaren, das für Rheinschiffahrtssachen nicht zuständig ist.</w:t>
      </w:r>
    </w:p>
    <w:p>
      <w:r>
        <w:rPr>
          <w:color w:val="555555"/>
          <w:sz w:val="17"/>
        </w:rPr>
        <w:t xml:space="preserve">Zitiervorschlag: § 14 BinSchGerG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https://recht.nulegal.eu/gesetze/BinSchGerG/14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