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 BinSchG — Verarbeitung von Daten im Binnenschiffsverkehr</w:t>
      </w:r>
    </w:p>
    <w:p>
      <w:r>
        <w:rPr>
          <w:color w:val="555555"/>
          <w:sz w:val="18"/>
        </w:rPr>
        <w:t xml:space="preserve">Binnenschiffahrtsaufgabengesetz</w:t>
      </w:r>
    </w:p>
    <w:p>
      <w:r>
        <w:rPr>
          <w:color w:val="555555"/>
          <w:sz w:val="18"/>
        </w:rPr>
        <w:t xml:space="preserve">Stand: 25.06.2023 (konsolidierte Textfassung, kein amtliches Inkrafttretensdatum)</w:t>
      </w:r>
    </w:p>
    <w:p>
      <w:r>
        <w:t xml:space="preserve">(1) Die Dienststellen der Wasserstraßen- und Schifffahrtsverwaltung des Bundes dürfen, soweit dies zum Betrieb von Binnenschifffahrtsinformationsdiensten, insbesondere für Verkehrsinformationen und zum Verkehrsmanagement, erforderlich ist, folgende Daten verarbeiten:</w:t>
      </w:r>
    </w:p>
    <w:p>
      <w:pPr>
        <w:ind w:left="420"/>
      </w:pPr>
      <w:r>
        <w:t xml:space="preserve">1. die Identifikationsmerkmale eines in ein Schiffsregister eingetragenen oder mit einer amtlichen Funkstellenkennzeichnung versehenen Wasserfahrzeugs oder Verbandes, ausgenommen Sportfahrzeuge, bestehend aus:</w:t>
      </w:r>
    </w:p>
    <w:p>
      <w:pPr>
        <w:ind w:left="780"/>
      </w:pPr>
      <w:r>
        <w:t xml:space="preserve">a) Schiffsname,</w:t>
      </w:r>
    </w:p>
    <w:p>
      <w:pPr>
        <w:ind w:left="780"/>
      </w:pPr>
      <w:r>
        <w:t xml:space="preserve">b) Register,</w:t>
      </w:r>
    </w:p>
    <w:p>
      <w:pPr>
        <w:ind w:left="780"/>
      </w:pPr>
      <w:r>
        <w:t xml:space="preserve">c) See- und Küstenfunkstellenkennzeichnung,</w:t>
      </w:r>
    </w:p>
    <w:p>
      <w:pPr>
        <w:ind w:left="780"/>
      </w:pPr>
      <w:r>
        <w:t xml:space="preserve">d) IMO-Schiffsidentifikationsnummer,</w:t>
      </w:r>
    </w:p>
    <w:p>
      <w:pPr>
        <w:ind w:left="780"/>
      </w:pPr>
      <w:r>
        <w:t xml:space="preserve">e) einheitliche europäische Schiffsnummer,</w:t>
      </w:r>
    </w:p>
    <w:p>
      <w:pPr>
        <w:ind w:left="780"/>
      </w:pPr>
      <w:r>
        <w:t xml:space="preserve">f) Unterscheidungssignal oder Funkrufzeichen,</w:t>
      </w:r>
    </w:p>
    <w:p>
      <w:pPr>
        <w:ind w:left="780"/>
      </w:pPr>
      <w:r>
        <w:t xml:space="preserve">g) Typ, Länge und Breite des Wasserfahrzeugs,</w:t>
      </w:r>
    </w:p>
    <w:p>
      <w:pPr>
        <w:ind w:left="780"/>
      </w:pPr>
      <w:r>
        <w:t xml:space="preserve">h) Art, Länge und Breite eines Verbandes,</w:t>
      </w:r>
    </w:p>
    <w:p>
      <w:pPr>
        <w:ind w:left="780"/>
      </w:pPr>
      <w:r>
        <w:t xml:space="preserve">i) Baujahr,</w:t>
      </w:r>
    </w:p>
    <w:p>
      <w:pPr>
        <w:ind w:left="780"/>
      </w:pPr>
      <w:r>
        <w:t xml:space="preserve">j) Nationalität,</w:t>
      </w:r>
    </w:p>
    <w:p>
      <w:pPr>
        <w:ind w:left="780"/>
      </w:pPr>
      <w:r>
        <w:t xml:space="preserve">k) Tragfähigkeit oder Verdrängung,</w:t>
      </w:r>
    </w:p>
    <w:p>
      <w:pPr>
        <w:ind w:left="780"/>
      </w:pPr>
      <w:r>
        <w:t xml:space="preserve">l) Tiefgang,</w:t>
      </w:r>
    </w:p>
    <w:p>
      <w:pPr>
        <w:ind w:left="780"/>
      </w:pPr>
      <w:r>
        <w:t xml:space="preserve">m) Maschinenleistung,</w:t>
      </w:r>
    </w:p>
    <w:p>
      <w:pPr>
        <w:ind w:left="780"/>
      </w:pPr>
      <w:r>
        <w:t xml:space="preserve">n) Anzahl und Größe von Schubleichtern oder geschleppten Gefäßen,</w:t>
      </w:r>
    </w:p>
    <w:p>
      <w:pPr>
        <w:ind w:left="780"/>
      </w:pPr>
      <w:r>
        <w:t xml:space="preserve">o) höchstzulässige Fahrgastzahl bei Tagesausflugsschiffen,</w:t>
      </w:r>
    </w:p>
    <w:p>
      <w:pPr>
        <w:ind w:left="780"/>
      </w:pPr>
      <w:r>
        <w:t xml:space="preserve">p) Anzahl der Betten bei Kabinenschiffen,</w:t>
      </w:r>
    </w:p>
    <w:p>
      <w:pPr>
        <w:ind w:left="420"/>
      </w:pPr>
      <w:r>
        <w:t xml:space="preserve">2. die Identifikationsmerkmale eines Sportfahrzeugs, bestehend aus:</w:t>
      </w:r>
    </w:p>
    <w:p>
      <w:pPr>
        <w:ind w:left="780"/>
      </w:pPr>
      <w:r>
        <w:t xml:space="preserve">a) Name,</w:t>
      </w:r>
    </w:p>
    <w:p>
      <w:pPr>
        <w:ind w:left="780"/>
      </w:pPr>
      <w:r>
        <w:t xml:space="preserve">b) Bauart,</w:t>
      </w:r>
    </w:p>
    <w:p>
      <w:pPr>
        <w:ind w:left="780"/>
      </w:pPr>
      <w:r>
        <w:t xml:space="preserve">c) Baujahr,</w:t>
      </w:r>
    </w:p>
    <w:p>
      <w:pPr>
        <w:ind w:left="780"/>
      </w:pPr>
      <w:r>
        <w:t xml:space="preserve">d) Länge und Breite,</w:t>
      </w:r>
    </w:p>
    <w:p>
      <w:pPr>
        <w:ind w:left="780"/>
      </w:pPr>
      <w:r>
        <w:t xml:space="preserve">e) Nationalitätenkennzeichen,</w:t>
      </w:r>
    </w:p>
    <w:p>
      <w:pPr>
        <w:ind w:left="780"/>
      </w:pPr>
      <w:r>
        <w:t xml:space="preserve">f) sonstige amtliche oder amtlich anerkannte Kennzeichen,</w:t>
      </w:r>
    </w:p>
    <w:p>
      <w:pPr>
        <w:ind w:left="420"/>
      </w:pPr>
      <w:r>
        <w:t xml:space="preserve">3. die Identifikationsmerkmale des Eigentümers, Ausrüsters, Charterers, Mieters, Gebührenschuldners oder Führers eines Wasserfahrzeugs, bestehend aus:</w:t>
      </w:r>
    </w:p>
    <w:p>
      <w:pPr>
        <w:ind w:left="780"/>
      </w:pPr>
      <w:r>
        <w:t xml:space="preserve">a) Familienname,</w:t>
      </w:r>
    </w:p>
    <w:p>
      <w:pPr>
        <w:ind w:left="780"/>
      </w:pPr>
      <w:r>
        <w:t xml:space="preserve">b) Geburtsname,</w:t>
      </w:r>
    </w:p>
    <w:p>
      <w:pPr>
        <w:ind w:left="780"/>
      </w:pPr>
      <w:r>
        <w:t xml:space="preserve">c) Vornamen,</w:t>
      </w:r>
    </w:p>
    <w:p>
      <w:pPr>
        <w:ind w:left="780"/>
      </w:pPr>
      <w:r>
        <w:t xml:space="preserve">d) Anschrift,</w:t>
      </w:r>
    </w:p>
    <w:p>
      <w:pPr>
        <w:ind w:left="420"/>
      </w:pPr>
      <w:r>
        <w:t xml:space="preserve">4. Start- und Zielhafen, Fahrtweg, letzter Auslauf- und nächster Anlaufhafen, voraussichtliche Abfahrts- und Ankunftszeit, auch an auf dem Fahrtweg liegenden Schifffahrtanlagen, Position zum Zeitpunkt der Datenerhebung, Geschwindigkeit, Fahrtrichtung, Status, Anzahl der blauen Kegel oder Lichter sowie Tiefgang,</w:t>
      </w:r>
    </w:p>
    <w:p>
      <w:pPr>
        <w:ind w:left="420"/>
      </w:pPr>
      <w:r>
        <w:t xml:space="preserve">5. Ladungsdaten, insbesondere Güterart, HS Code, Ladehafen, Bestimmungshafen und Größe der Ladung (in Tonnen) sowie bei Gefahrgut zusätzlich die Güterbezeichnung, Ladungs-Code, Klasse, Verpackungscode und die UN-Nummer.</w:t>
      </w:r>
    </w:p>
    <w:p>
      <w:r>
        <w:t xml:space="preserve">Satz 1 gilt nicht für Wasserfahrzeuge der Bundeswehr und der Behörden des Bundes und der Länder, sofern sie zur Wahrnehmung von Vollzugsaufgaben bestimmt sind.</w:t>
      </w:r>
    </w:p>
    <w:p>
      <w:r>
        <w:t xml:space="preserve">(2) Soweit dies zur Erstellung eigener Statistiken erforderlich ist, dürfen die Dienststellen der Wasserstraßen- und Schifffahrtsverwaltung des Bundes die Daten nach Absatz 1 Satz 1 Nummer 1, 2, 4 und 5 mit Ausnahme des Schiffsnamens, der IMO-Schiffsidentifikationsnummer, der einheitlichen europäischen Schiffsnummer und der amtlichen oder amtlich anerkannten Kennzeichen erheben, speichern und verwenden.</w:t>
      </w:r>
    </w:p>
    <w:p>
      <w:r>
        <w:t xml:space="preserve">(3) Soweit dies zur Erhebung von Schifffahrtsgebühren erforderlich ist, dürfen die Dienststellen der Wasserstraßen- und Schifffahrtsverwaltung des Bundes die Daten nach Absatz 1 Satz 1 und eine Bankverbindung der Gebührenschuldner erheben, speichern und verwenden.</w:t>
      </w:r>
    </w:p>
    <w:p>
      <w:r>
        <w:t xml:space="preserve">(4) Soweit dies zur Unterstützung der Unfallbekämpfung erforderlich ist, dürfen die Dienststellen der Wasserstraßen- und Schifffahrtsverwaltung des Bundes die Daten nach Absatz 1 Satz 1 sowie Aufzeichnungen des Binnenschifffahrtssprechfunks und die Anzahl der an Bord befindlichen Personen erheben, speichern und verwenden.</w:t>
      </w:r>
    </w:p>
    <w:p>
      <w:r>
        <w:t xml:space="preserve">(5) Soweit dies zur Steuerung des Betriebsablaufs der bundeseigenen Schifffahrtsanlagen erforderlich ist, dürfen die Dienststellen der Wasserstraßen- und Schifffahrtsverwaltung des Bundes Audio-, Video- und Betriebsdaten erheben, speichern und verwenden.</w:t>
      </w:r>
    </w:p>
    <w:p>
      <w:r>
        <w:t xml:space="preserve">(6) Die Dienststellen der Wasserstraßen- und Schifffahrtsverwaltung des Bundes dürfen die Daten nach den Absätzen 1 bis 5 den Polizeidienststellen der Länder übermitteln, soweit dies zur Wahrnehmung der schifffahrtspolizeilichen Vollzugsaufgaben nach Maßgabe der mit den Ländern geschlossenen Vereinbarungen erforderlich ist. Die Daten nach Satz 1 dürfen nicht zur Verfolgung von Straftaten und Ordnungswidrigkeiten verwendet werden mit Ausnahme von</w:t>
      </w:r>
    </w:p>
    <w:p>
      <w:pPr>
        <w:ind w:left="420"/>
      </w:pPr>
      <w:r>
        <w:t xml:space="preserve">1. Straftaten, die im Zusammenhang mit dem Schiffsverkehr oder sonst in einem auf die Schifffahrt bezogenen Zusammenhang mit Wasserfahrzeugen stehen,</w:t>
      </w:r>
    </w:p>
    <w:p>
      <w:pPr>
        <w:ind w:left="420"/>
      </w:pPr>
      <w:r>
        <w:t xml:space="preserve">2. schweren Straftaten nach § 100a Absatz 2 Strafprozessordnung,</w:t>
      </w:r>
    </w:p>
    <w:p>
      <w:pPr>
        <w:ind w:left="420"/>
      </w:pPr>
      <w:r>
        <w:t xml:space="preserve">3. Ordnungswidrigkeiten, die darauf beruhen, dass die in das Inland AIS Gerät eingegebenen Daten nicht den tatsächlichen Daten des Fahrzeugs entsprechen.</w:t>
      </w:r>
    </w:p>
    <w:p>
      <w:r>
        <w:t xml:space="preserve">(7) Die Dienststellen der Wasserstraßen- und Schifffahrtsverwaltung des Bundes dürfen die Daten nach den Absätzen 1 bis 5 zum Zwecke</w:t>
      </w:r>
    </w:p>
    <w:p>
      <w:pPr>
        <w:ind w:left="420"/>
      </w:pPr>
      <w:r>
        <w:t xml:space="preserve">1. der Durchführung von Verwaltungsaufgaben nach</w:t>
      </w:r>
    </w:p>
    <w:p>
      <w:pPr>
        <w:ind w:left="780"/>
      </w:pPr>
      <w:r>
        <w:t xml:space="preserve">a) diesem Gesetz, dem Seeaufgabengesetz, dem Flaggenrechtsgesetz, dem Seelotsgesetz, dem Bundeswasserstraßengesetz, dem Gefahrgutbeförderungsgesetz, dem Wasserhaushaltsgesetz, dem Verkehrsleistungsgesetz und dem Verkehrssicherstellungsgesetz,</w:t>
      </w:r>
    </w:p>
    <w:p>
      <w:pPr>
        <w:ind w:left="780"/>
      </w:pPr>
      <w:r>
        <w:t xml:space="preserve">b) auf Grund der unter Buchstabe a genannten Gesetze erlassenen Rechtsverordnungen oder</w:t>
      </w:r>
    </w:p>
    <w:p>
      <w:pPr>
        <w:ind w:left="780"/>
      </w:pPr>
      <w:r>
        <w:t xml:space="preserve">c) den Landeswassergesetzen oder nach auf Grund dieser Gesetze erlassenen Rechtsverordnungen</w:t>
      </w:r>
    </w:p>
    <w:p>
      <w:r>
        <w:t xml:space="preserve">an das Bundesministerium für Digitales und Verkehr, die Dienststellen der Wasserstraßen- und Schifffahrtsverwaltung des Bundes, die Polizeidienststellen der Länder, die Dienststellen der Wasser- und Schifffahrtsverwaltungen der Länder, Hafenverwaltungen und nicht-öffentliche Stellen,</w:t>
      </w:r>
    </w:p>
    <w:p>
      <w:pPr>
        <w:ind w:left="420"/>
      </w:pPr>
      <w:r>
        <w:t xml:space="preserve">2. der Verfolgung von Straftaten, die im Zusammenhang mit dem Schiffsverkehr oder sonst in einem auf die Schifffahrt bezogenen Zusammenhang mit Wasserfahrzeugen stehen sowie von schweren Straftaten nach § 100a Absatz 2 Strafprozessordnung, an Gerichte, Staatsanwaltschaften, das Bundeskriminalamt als Strafverfolgungsbehörde, die Polizeidienststellen der Länder, die Bundespolizei und den Zoll,</w:t>
      </w:r>
    </w:p>
    <w:p>
      <w:pPr>
        <w:ind w:left="420"/>
      </w:pPr>
      <w:r>
        <w:t xml:space="preserve">3. der Durchführung von Forschungsvorhaben im Bereich der Binnenschifffahrt und der Bundeswasserstraßen in anonymisierter Form an die vom Bundesministerium für Digitales und Verkehr oder den Dienststellen der Wasserstraßen- und Schifffahrtsverwaltung des Bundes beauftragten Forschungsnehmer,</w:t>
      </w:r>
    </w:p>
    <w:p>
      <w:pPr>
        <w:ind w:left="420"/>
      </w:pPr>
      <w:r>
        <w:t xml:space="preserve">4. der Durchführung der Verordnung (EU) Nr. 1177/2010 des Europäischen Parlaments und des Rates vom 24. November 2010 über die Fahrgastrechte im See- und Binnenschiffsverkehr und zur Änderung der Verordnung (EG) Nr. 2006/2004 (ABl. L 334 vom 17.12.2010, S. 1) an das Eisenbahn-Bundesamt,</w:t>
      </w:r>
    </w:p>
    <w:p>
      <w:r>
        <w:t xml:space="preserve">auf Ersuchen der jeweils zuständigen Stelle übermitteln, soweit dies im Einzelfall für die Erfüllung der in den Nummern 1 bis 4 genannten Aufgaben jeweils erforderlich ist.</w:t>
      </w:r>
    </w:p>
    <w:p>
      <w:r>
        <w:t xml:space="preserve">(8) Die Dienststellen der Wasserstraßen- und Schifffahrtsverwaltung des Bundes dürfen die Daten nach Absatz 1 Satz 1 auf Ersuchen der jeweils zuständigen Stelle an die hierfür zuständigen Organe und Einrichtungen der Europäischen Union, an über- oder zwischenstaatliche Stellen, an internationale Organisationen oder öffentliche Stellen anderer Staaten übermitteln, soweit dies</w:t>
      </w:r>
    </w:p>
    <w:p>
      <w:pPr>
        <w:ind w:left="420"/>
      </w:pPr>
      <w:r>
        <w:t xml:space="preserve">1. zur Durchführung von Verwaltungsmaßnahmen auf dem Gebiet der Schifffahrt,</w:t>
      </w:r>
    </w:p>
    <w:p>
      <w:pPr>
        <w:ind w:left="420"/>
      </w:pPr>
      <w:r>
        <w:t xml:space="preserve">2. zur Verfolgung von Straftaten, die im Zusammenhang mit dem Schiffsverkehr oder sonst in einem auf die Schifffahrt bezogenen Zusammenhang mit Wasserfahrzeugen stehen,</w:t>
      </w:r>
    </w:p>
    <w:p>
      <w:r>
        <w:t xml:space="preserve">durch die zuständigen Organe und Einrichtungen der Europäischen Union, über- oder zwischenstaatliche Stellen, internationale Organisationen oder öffentliche Stellen anderer Staaten im Einzelfall jeweils erforderlich ist. Der Empfänger ist darauf hinzuweisen, dass die Daten nur zu dem Zweck verarbeitet werden dürfen, zu dem sie übermittelt wurden.</w:t>
      </w:r>
    </w:p>
    <w:p>
      <w:r>
        <w:t xml:space="preserve">(9) Die Dienststellen der Wasserstraßen- und Schifffahrtsverwaltung des Bundes dürfen die zum Betrieb von staatenübergreifenden Binnenschifffahrtsinformationsdiensten erforderlichen Daten nach Absatz 1 Satz 1 an benachbarte Staaten übermitteln.</w:t>
      </w:r>
    </w:p>
    <w:p>
      <w:r>
        <w:t xml:space="preserve">(10) Die Dienststellen der Wasserstraßen- und Schifffahrtsverwaltung des Bundes übermitteln dem Statistischen Bundesamt zur Erstellung der Binnenschifffahrtsstatistik auf Anforderung im automatisierten Verfahren Angaben zu den Merkmalen nach §§ 3, 25 Nummer 3 des Verkehrsstatistikgesetzes, soweit sie bei ihnen vorliegen.</w:t>
      </w:r>
    </w:p>
    <w:p>
      <w:r>
        <w:t xml:space="preserve">(11) Die nach Absatz 1 bis 5 gespeicherten personenbezogenen Daten sind unverzüglich zu löschen, soweit sie für die Erfüllung der Aufgaben nach Absatz 1 bis 5 im Einzelfall jeweils nicht mehr erforderlich sind.</w:t>
      </w:r>
    </w:p>
    <w:p>
      <w:r>
        <w:t xml:space="preserve">(12) Die Dienststellen der Wasserstraßen- und Schifffahrtsverwaltung des Bundes dürfen die Daten nach Absatz 1 Satz 1 Nummer 1 und 4 zur Durchführung des jeweiligen Warentransports an Schiffsführer, Frachtmakler, Flottenmanager, Terminalbetreiber, Verlader, Spediteure und Hafenbehörden (Transportbeteiligte) übermitteln. Die Transportbeteiligten dürfen die Daten nach Satz 1 nur zur Durchführung des jeweiligen Warentransports speichern und verwenden; eine weitere Übermittlung ist nicht zulässig. Die Daten nach Satz 1 sind von den Transportbeteiligten unmittelbar nach Abschluss des Warentransports zu löschen. Speichert oder verwendet ein Transportbeteiligter nachweislich die Daten über den Zweck nach Satz 2 hinaus, ist er von der weiteren Datenübermittlung auszuschließen. Speichert oder nutzt ein Transportbeteiligter nachweislich die Daten noch nach Abschluss des Warentransports, soll er von der weiteren Datenübermittlung ausgeschlossen werden. Die Dienststellen der Wasserstraßen- und Schifffahrtsverwaltung des Bundes haben die Transportbeteiligten auf ihre Pflichten nach Satz 2 und 3 sowie auf die Folge von Verstößen nach den Sätzen 4 und 5 hinzuweisen.</w:t>
      </w:r>
    </w:p>
    <w:p>
      <w:r>
        <w:t xml:space="preserve">(13) Die Absätze 1 bis 12 sind nicht auf Seeschifffahrtsstraßen anzuwenden.</w:t>
      </w:r>
    </w:p>
    <w:p>
      <w:r>
        <w:rPr>
          <w:color w:val="555555"/>
          <w:sz w:val="17"/>
        </w:rPr>
        <w:t xml:space="preserve">Zitiervorschlag: § 8 BinSchG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https://recht.nulegal.eu/gesetze/BinSchG/8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 BinSchG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