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6b BinSchG — Verwaltungszwang</w:t>
      </w:r>
    </w:p>
    <w:p>
      <w:r>
        <w:rPr>
          <w:color w:val="555555"/>
          <w:sz w:val="18"/>
        </w:rPr>
        <w:t xml:space="preserve">Binnenschiffahrtsaufgabengesetz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Die Generaldirektion Wasserstraßen und Schifffahrt kann die Durchführung der im Rahmen ihrer Überwachungsaufgaben nach § 6a erforderlichen Verwaltungsmaßnahmen nach den für die Durchsetzung von Verwaltungsmaßnahmen allgemein geltenden Bestimmungen erzwingen.</w:t>
      </w:r>
    </w:p>
    <w:p>
      <w:r>
        <w:rPr>
          <w:color w:val="555555"/>
          <w:sz w:val="17"/>
        </w:rPr>
        <w:t xml:space="preserve">Zitiervorschlag: § 6b BinSchG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https://recht.nulegal.eu/gesetze/BinSchG/6b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