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BinSchG — Zulassung von Ärzten</w:t>
      </w:r>
    </w:p>
    <w:p>
      <w:r>
        <w:rPr>
          <w:color w:val="555555"/>
          <w:sz w:val="18"/>
        </w:rPr>
        <w:t xml:space="preserve">Binnenschiffahrtsaufgabengesetz</w:t>
      </w:r>
    </w:p>
    <w:p>
      <w:r>
        <w:rPr>
          <w:color w:val="555555"/>
          <w:sz w:val="18"/>
        </w:rPr>
        <w:t xml:space="preserve">Stand: 25.06.2023 (konsolidierte Textfassung, kein amtliches Inkrafttretensdatum)</w:t>
      </w:r>
    </w:p>
    <w:p>
      <w:r>
        <w:t xml:space="preserve">(1) Soweit durch Rechtsvorschrift die Untersuchung und Feststellung der medizinischen Tauglichkeit durch einen zugelassenen Arzt vorgeschrieben ist, ist der Arzt durch die Berufsgenossenschaft Verkehrswirtschaft Post-Logistik Telekommunikation (Berufsgenossenschaft) hierfür zuzulassen, wenn er</w:t>
      </w:r>
    </w:p>
    <w:p>
      <w:pPr>
        <w:ind w:left="420"/>
      </w:pPr>
      <w:r>
        <w:t xml:space="preserve">1. die für die Untersuchung und Feststellung der medizinischen Tauglichkeit notwendigen fachlichen Kenntnisse besitzt und über die für die Untersuchung notwendige medizinische Ausstattung verfügt sowie</w:t>
      </w:r>
    </w:p>
    <w:p>
      <w:pPr>
        <w:ind w:left="420"/>
      </w:pPr>
      <w:r>
        <w:t xml:space="preserve">2. unabhängig und zuverlässig ist und dadurch die Gewähr für eine ordnungsgemäße Erfüllung der Aufgaben bietet.</w:t>
      </w:r>
    </w:p>
    <w:p>
      <w:r>
        <w:t xml:space="preserve">(2) Die Zulassung wird auf fünf Jahre befristet erteilt und kann verlängert werden. Sie kann, auch nachträglich, mit Nebenbestimmungen verbunden werden. Die Zulassung ist zurückzunehmen, wenn der Arzt die Zulassung</w:t>
      </w:r>
    </w:p>
    <w:p>
      <w:pPr>
        <w:ind w:left="420"/>
      </w:pPr>
      <w:r>
        <w:t xml:space="preserve">1. durch arglistige Täuschung, Drohung oder Bestechung oder</w:t>
      </w:r>
    </w:p>
    <w:p>
      <w:pPr>
        <w:ind w:left="420"/>
      </w:pPr>
      <w:r>
        <w:t xml:space="preserve">2. vorsätzlich oder grob fahrlässig durch Angaben, die in wesentlicher Beziehung unrichtig oder unvollständig waren,</w:t>
      </w:r>
    </w:p>
    <w:p>
      <w:r>
        <w:t xml:space="preserve">erwirkt hat. Die Zulassung ist zu widerrufen, wenn der Arzt nicht mehr über die notwendigen fachlichen Kenntnisse, die für die Untersuchung notwendige medizinische Ausstattung, die erforderliche Unabhängigkeit oder Zuverlässigkeit verfügt. Im Übrigen bleiben die §§ 48 und 49 des Verwaltungsverfahrensgesetzes unberührt. Die Berufsgenossenschaft kann, auch in den Fällen der Sätze 3 und 4, anstelle der Rücknahme oder des Widerrufs bis zur Beseitigung der Rücknahmegründe oder der Widerrufsgründe das Ruhen der Zulassung für einen bestimmten Zeitraum anordnen, soweit mit einer Beseitigung der Rücknahme- oder Widerrufsgründe binnen des bestimmten Zeitraums zu rechnen ist.</w:t>
      </w:r>
    </w:p>
    <w:p>
      <w:r>
        <w:t xml:space="preserve">(3) Die Berufsgenossenschaft kann sich bei der Durchführung des Zulassungsverfahrens der Unterstützung fachkundiger Dritter bedienen. Satz 1 gilt insbesondere für die Entgegennahme der Anträge, die Prüfung der Antragsunterlagen auf Vollständigkeit, die Mitwirkung bei der Prüfung der Zulassungsvoraussetzungen, die Anhörung des Antragstellers und die Mitwirkung beim Führen eines Verzeichnisses der zugelassenen Ärzte. Die Berufsgenossenschaft hat durch angemessene Maßnahmen dafür Sorge zu tragen, dass Interessenkonflikte im Hinblick auf die Unterstützung durch fachkundige Dritte bei der Zulassung von Ärzten ausgeschlossen sind.</w:t>
      </w:r>
    </w:p>
    <w:p>
      <w:r>
        <w:t xml:space="preserve">(4) Das Bundesministerium für Digitales und Verkehr wird ermächtigt, durch Rechtsverordnung nähere Einzelheiten zu den Voraussetzungen und dem Verfahren der Zulassung von Ärzten zur Untersuchung und Feststellung der medizinischen Tauglichkeit zu regeln.</w:t>
      </w:r>
    </w:p>
    <w:p>
      <w:r>
        <w:rPr>
          <w:color w:val="555555"/>
          <w:sz w:val="17"/>
        </w:rPr>
        <w:t xml:space="preserve">Zitiervorschlag: § 4 BinSchG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