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3e BinSchG — Übertragungsermächtigung</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(1) Die Ermächtigungen nach § 3 Absatz 1, auch in Verbindung mit Absatz 2 und 6, und Absatz 4, auch in Verbindung mit Absatz 6, und § 3b Absatz 1 können durch Rechtsverordnung auf die Generaldirektion Wasserstraßen und Schifffahrt übertragen werden. § 3 Absatz 3 und 7 gilt für Rechtsverordnungen der Generaldirektion Wasserstraßen und Schifffahrt entsprechend. Zum Erlass der Rechtsverordnung nach Satz 1 werden ermächtigt</w:t>
      </w:r>
    </w:p>
    <w:p>
      <w:pPr>
        <w:ind w:left="420"/>
      </w:pPr>
      <w:r>
        <w:t xml:space="preserve">1. im Falle des § 3 Absatz 1 Nummer 1 und 2 in Verbindung mit Absatz 5 Satz 1 das Bundesministerium für Digitales und Verkehr und das Bundesministerium für Umwelt, Naturschutz, nukleare Sicherheit und Verbraucherschutz gemeinsam,</w:t>
      </w:r>
    </w:p>
    <w:p>
      <w:pPr>
        <w:ind w:left="420"/>
      </w:pPr>
      <w:r>
        <w:t xml:space="preserve">2. in den übrigen Fällen das Bundesministerium für Digitales und Verkehr, das des Einvernehmens mit anderen Bundesministerien insoweit bedarf, als es für das Gebrauchmachen von der zu übertragenden Ermächtigung erforderlich wäre.</w:t>
      </w:r>
    </w:p>
    <w:p>
      <w:r>
        <w:t xml:space="preserve">(2) Beteiligungspflichten in Form des Benehmens oder der Anhörung, die in einer übertragbaren Ermächtigung vorgesehen sind, gehen mit deren Übertragung auf die Generaldirektion Wasserstraßen und Schifffahrt über, soweit die übertragende Rechtsverordnung nichts anderes bestimmt.</w:t>
      </w:r>
    </w:p>
    <w:p>
      <w:r>
        <w:rPr>
          <w:color w:val="555555"/>
          <w:sz w:val="17"/>
        </w:rPr>
        <w:t xml:space="preserve">Zitiervorschlag: § 3e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