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3c BinSchG — Angleichung der Wettbewerbsbedingungen</w:t>
      </w:r>
    </w:p>
    <w:p>
      <w:r>
        <w:rPr>
          <w:color w:val="555555"/>
          <w:sz w:val="18"/>
        </w:rPr>
        <w:t xml:space="preserve">Binnenschiffahrtsaufgabengesetz</w:t>
      </w:r>
    </w:p>
    <w:p>
      <w:r>
        <w:rPr>
          <w:color w:val="555555"/>
          <w:sz w:val="18"/>
        </w:rPr>
        <w:t xml:space="preserve">Stand: 25.06.2023 (konsolidierte Textfassung, kein amtliches Inkrafttretensdatum)</w:t>
      </w:r>
    </w:p>
    <w:p>
      <w:r>
        <w:t xml:space="preserve">Mit dem Ziel bester Verkehrsbedienung hat die Bundesregierung darauf hinzuwirken, dass die Wettbewerbsbedingungen der Verkehrsträger angeglichen werden und dass durch einen lauteren Wettbewerb der Verkehrsträger eine volkswirtschaftlich sinnvolle Aufgabenteilung ermöglicht wird.</w:t>
      </w:r>
    </w:p>
    <w:p>
      <w:r>
        <w:rPr>
          <w:color w:val="555555"/>
          <w:sz w:val="17"/>
        </w:rPr>
        <w:t xml:space="preserve">Zitiervorschlag: § 3c BinSchG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