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BinSchG — Erlass von Rechtsverordnungen</w:t>
      </w:r>
    </w:p>
    <w:p>
      <w:r>
        <w:rPr>
          <w:color w:val="555555"/>
          <w:sz w:val="18"/>
        </w:rPr>
        <w:t xml:space="preserve">Binnenschiffahrtsaufgabengesetz</w:t>
      </w:r>
    </w:p>
    <w:p>
      <w:r>
        <w:rPr>
          <w:color w:val="555555"/>
          <w:sz w:val="18"/>
        </w:rPr>
        <w:t xml:space="preserve">Stand: 29.12.2023 (konsolidierte Textfassung, kein amtliches Inkrafttretensdatum)</w:t>
      </w:r>
    </w:p>
    <w:p>
      <w:r>
        <w:t xml:space="preserve">Rechtsverordnungen nach diesem Gesetz bedürfen nicht der Zustimmung des Bundesrates.</w:t>
      </w:r>
    </w:p>
    <w:p>
      <w:r>
        <w:rPr>
          <w:color w:val="555555"/>
          <w:sz w:val="17"/>
        </w:rPr>
        <w:t xml:space="preserve">Zitiervorschlag: § 14 BinSchG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