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BinSchG — Amtliche Mitteilung</w:t>
      </w:r>
    </w:p>
    <w:p>
      <w:r>
        <w:rPr>
          <w:color w:val="555555"/>
          <w:sz w:val="18"/>
        </w:rPr>
        <w:t xml:space="preserve">Binnenschiffahrtsaufgabengesetz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Die Amtsgerichte, bei denen ein Binnenschiffsregister geführt wird, teilen Tatsachen, die</w:t>
      </w:r>
    </w:p>
    <w:p>
      <w:pPr>
        <w:ind w:left="420"/>
      </w:pPr>
      <w:r>
        <w:t xml:space="preserve">1. nach den §§ 12 und 17 Absatz 1 und 4 der Schiffsregisterordnung zum Binnenschiffsregister angemeldet werden,</w:t>
      </w:r>
    </w:p>
    <w:p>
      <w:pPr>
        <w:ind w:left="420"/>
      </w:pPr>
      <w:r>
        <w:t xml:space="preserve">2. nach § 4 Absatz 3 der Schiffsregisterordnung angegeben werden,</w:t>
      </w:r>
    </w:p>
    <w:p>
      <w:r>
        <w:t xml:space="preserve">der Datei führenden Stelle nach § 9 Absatz 1 mit.</w:t>
      </w:r>
    </w:p>
    <w:p>
      <w:r>
        <w:rPr>
          <w:color w:val="555555"/>
          <w:sz w:val="17"/>
        </w:rPr>
        <w:t xml:space="preserve">Zitiervorschlag: § 10 BinSchG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https://recht.nulegal.eu/gesetze/BinSchG/10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