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BinSchFondsG — Aufgaben des Fonds</w:t>
      </w:r>
    </w:p>
    <w:p>
      <w:r>
        <w:rPr>
          <w:color w:val="555555"/>
          <w:sz w:val="18"/>
        </w:rPr>
        <w:t xml:space="preserve">Binnenschifffahrtsfondsgesetz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Binnenschifffahrtsfonds erfüllt die ihm nach der Verordnung (EG) Nr. 718/1999 des Rates in Verbindung mit der Verordnung (EG) Nr. 805/1999 der Kommission vom 16. April 1999 zur Festlegung der Durchführungsbestimmungen zur Verordnung (EG) Nr. 718/1999 des Rates über kapazitätsbezogene Maßnahmen für die Binnenschifffahrtsflotten der Gemeinschaft und zur Förderung des Binnenschiffsverkehrs (ABl. EG Nr. L 102 S. 64) übertragenen Aufgaben.</w:t>
      </w:r>
    </w:p>
    <w:p>
      <w:r>
        <w:rPr>
          <w:color w:val="555555"/>
          <w:sz w:val="17"/>
        </w:rPr>
        <w:t xml:space="preserve">Zitiervorschlag: § 2 BinSchFondsG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https://recht.nulegal.eu/gesetze/BinSchFondsG/2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