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BinSchEO — Allgemeines</w:t>
      </w:r>
    </w:p>
    <w:p>
      <w:r>
        <w:rPr>
          <w:color w:val="555555"/>
          <w:sz w:val="18"/>
        </w:rPr>
        <w:t xml:space="preserve">Binnenschiffseichordnung</w:t>
      </w:r>
    </w:p>
    <w:p>
      <w:r>
        <w:rPr>
          <w:color w:val="555555"/>
          <w:sz w:val="18"/>
        </w:rPr>
        <w:t xml:space="preserve">Stand: 26.03.2022 (konsolidierte Textfassung, kein amtliches Inkrafttretensdatum)</w:t>
      </w:r>
    </w:p>
    <w:p>
      <w:r>
        <w:t xml:space="preserve">Die Wasserverdrängung ist nach der Formel des § 26 Absatz 1 Nummer 2 festzustellen.</w:t>
      </w:r>
    </w:p>
    <w:p>
      <w:r>
        <w:rPr>
          <w:color w:val="555555"/>
          <w:sz w:val="17"/>
        </w:rPr>
        <w:t xml:space="preserve">Zitiervorschlag: § 30 BinSchEO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https://recht.nulegal.eu/gesetze/BinSchEO/30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