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BinSchEO — Berechnung</w:t>
      </w:r>
    </w:p>
    <w:p>
      <w:r>
        <w:rPr>
          <w:color w:val="555555"/>
          <w:sz w:val="18"/>
        </w:rPr>
        <w:t xml:space="preserve">Binnenschiffseichordnung</w:t>
      </w:r>
    </w:p>
    <w:p>
      <w:r>
        <w:rPr>
          <w:color w:val="555555"/>
          <w:sz w:val="18"/>
        </w:rPr>
        <w:t xml:space="preserve">Stand: 26.03.2022 (konsolidierte Textfassung, kein amtliches Inkrafttretensdatum)</w:t>
      </w:r>
    </w:p>
    <w:p>
      <w:r>
        <w:t xml:space="preserve">(1) Die Feststellung der Wasserverdrängung nach § 6 Absatz 2 erfolgt entweder</w:t>
      </w:r>
    </w:p>
    <w:p>
      <w:pPr>
        <w:ind w:left="420"/>
      </w:pPr>
      <w:r>
        <w:t xml:space="preserve">1. durch Berechnung unter Anwendung der I. Simpsonregel nach Maßen, die am Schiff selbst gemessen oder nach Angaben, die technischen Zeichnungen entnommen werden; bei Verwendung von Zeichnungen sind Länge, Breite und Tiefgang am schwimmenden Schiff zu kontrollieren, oder</w:t>
      </w:r>
    </w:p>
    <w:p>
      <w:pPr>
        <w:ind w:left="420"/>
      </w:pPr>
      <w:r>
        <w:t xml:space="preserve">2. durch Berechnung nach der FormelVn = L · B · Tn · δ;darin ist</w:t>
      </w:r>
    </w:p>
    <w:p>
      <w:r>
        <w:rPr>
          <w:rFonts w:ascii="Courier New" w:hAnsi="Courier New"/>
          <w:sz w:val="17"/>
        </w:rPr>
        <w:t xml:space="preserve">Vn    –    die Wasserverdrängung in m3 bis zur Eintauchtiefe Tn,</w:t>
      </w:r>
    </w:p>
    <w:p>
      <w:r>
        <w:rPr>
          <w:rFonts w:ascii="Courier New" w:hAnsi="Courier New"/>
          <w:sz w:val="17"/>
        </w:rPr>
        <w:t xml:space="preserve">L    –    die Länge des Schiffsrumpfes in der Schwimmebene in m,</w:t>
      </w:r>
    </w:p>
    <w:p>
      <w:r>
        <w:rPr>
          <w:rFonts w:ascii="Courier New" w:hAnsi="Courier New"/>
          <w:sz w:val="17"/>
        </w:rPr>
        <w:t xml:space="preserve">B    –    die Breite des Schiffsrumpfes in der Schwimmebene an der breitesten Stelle in m,</w:t>
      </w:r>
    </w:p>
    <w:p>
      <w:r>
        <w:rPr>
          <w:rFonts w:ascii="Courier New" w:hAnsi="Courier New"/>
          <w:sz w:val="17"/>
        </w:rPr>
        <w:t xml:space="preserve">Tn    –    die Eintauchtiefe des Schiffes bei ½ L bis zur bezogenen Schwimmebene,</w:t>
      </w:r>
    </w:p>
    <w:p>
      <w:r>
        <w:rPr>
          <w:rFonts w:ascii="Courier New" w:hAnsi="Courier New"/>
          <w:sz w:val="17"/>
        </w:rPr>
        <w:t xml:space="preserve">δ    –    der Völligkeitsgrad der Verdrängung.</w:t>
      </w:r>
    </w:p>
    <w:p>
      <w:pPr>
        <w:ind w:left="420"/>
      </w:pPr>
      <w:r>
        <w:t xml:space="preserve">Die Maße werden ohne Berücksichtigung von Anhängen oder Einbuchtungen am Schiff selbst oder technischen Zeichnungen entnommen, wobei Tn am schwimmenden Schiff zu kontrollieren ist.Als Völligkeitsgrad δ ist der für die betreffende Schiffsgattung allgemein gebräuchliche Wert anzunehmen; für alle schlanken Schiffe (Fahrgastschiffe, Schlepper usw.) ist δ = 0,7.</w:t>
      </w:r>
    </w:p>
    <w:p>
      <w:r>
        <w:t xml:space="preserve">(2) Für die im Absatz 1 Nummer 1 und 2 genannten technischen Zeichnungen gelten die Bestimmungen des § 15 Absatz 5.</w:t>
      </w:r>
    </w:p>
    <w:p>
      <w:r>
        <w:t xml:space="preserve">(3) Nur die Wasserverdrängung bei größter Eintauchung wird im Eichschein (Rubrik 34) eingetragen.</w:t>
      </w:r>
    </w:p>
    <w:p>
      <w:r>
        <w:rPr>
          <w:color w:val="555555"/>
          <w:sz w:val="17"/>
        </w:rPr>
        <w:t xml:space="preserve">Zitiervorschlag: § 26 BinSchEO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https://recht.nulegal.eu/gesetze/BinSchEO/26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BinSchEO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