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BinSchEO — Tragfähigkeit</w:t>
      </w:r>
    </w:p>
    <w:p>
      <w:r>
        <w:rPr>
          <w:color w:val="555555"/>
          <w:sz w:val="18"/>
        </w:rPr>
        <w:t xml:space="preserve">Binnenschiffseichordnung</w:t>
      </w:r>
    </w:p>
    <w:p>
      <w:r>
        <w:rPr>
          <w:color w:val="555555"/>
          <w:sz w:val="18"/>
        </w:rPr>
        <w:t xml:space="preserve">Stand: 26.03.2022 (konsolidierte Textfassung, kein amtliches Inkrafttretensdatum)</w:t>
      </w:r>
    </w:p>
    <w:p>
      <w:r>
        <w:t xml:space="preserve">Die Tragfähigkeit in Süßwasser mit der Dichte 1 entspricht der Wasserverdrängung von der Leerebene bis zur oberen Eichebene. Die Tragfähigkeit ist in Tonnen anzugeben und in Rubrik 22 des Eichscheins einzutragen, wobei auf 3 Dezimalstellen gerundet wird.</w:t>
      </w:r>
    </w:p>
    <w:p>
      <w:r>
        <w:rPr>
          <w:color w:val="555555"/>
          <w:sz w:val="17"/>
        </w:rPr>
        <w:t xml:space="preserve">Zitiervorschlag: § 23 BinSchEO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https://recht.nulegal.eu/gesetze/BinSchEO/23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BinSchEO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