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BinSchEO — Genauigkeit</w:t>
      </w:r>
    </w:p>
    <w:p>
      <w:r>
        <w:rPr>
          <w:color w:val="555555"/>
          <w:sz w:val="18"/>
        </w:rPr>
        <w:t xml:space="preserve">Binnenschiffseichordnung</w:t>
      </w:r>
    </w:p>
    <w:p>
      <w:r>
        <w:rPr>
          <w:color w:val="555555"/>
          <w:sz w:val="18"/>
        </w:rPr>
        <w:t xml:space="preserve">Stand: 26.03.2022 (konsolidierte Textfassung, kein amtliches Inkrafttretensdatum)</w:t>
      </w:r>
    </w:p>
    <w:p>
      <w:r>
        <w:t xml:space="preserve">Die Eichung soll so sorgfältig durchgeführt werden, dass eine Genauigkeit im Ergebnis erreicht wird, deren Fehler geringer sind als</w:t>
      </w:r>
    </w:p>
    <w:p>
      <w:pPr>
        <w:ind w:left="420"/>
      </w:pPr>
      <w:r>
        <w:t xml:space="preserve">– 1 % bei einer Verdrängung von höchstens 500 m3,</w:t>
      </w:r>
    </w:p>
    <w:p>
      <w:pPr>
        <w:ind w:left="420"/>
      </w:pPr>
      <w:r>
        <w:t xml:space="preserve">– 5 m3 bei einer Verdrängung von mehr als 500 m3 bis zu 2 000 m3,</w:t>
      </w:r>
    </w:p>
    <w:p>
      <w:pPr>
        <w:ind w:left="420"/>
      </w:pPr>
      <w:r>
        <w:t xml:space="preserve">– ¼ % bei einer Verdrängung von mehr als 2 000 m3,</w:t>
      </w:r>
    </w:p>
    <w:p>
      <w:r>
        <w:t xml:space="preserve">gleichviel, ob es sich um die Höchstverdrängung oder um Verdrängungen handelt, die gegebenen Eintauchungsunterschieden entsprechen.</w:t>
      </w:r>
    </w:p>
    <w:p>
      <w:r>
        <w:rPr>
          <w:color w:val="555555"/>
          <w:sz w:val="17"/>
        </w:rPr>
        <w:t xml:space="preserve">Zitiervorschlag: § 14 BinSchEO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https://recht.nulegal.eu/gesetze/BinSchEO/14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