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BinSchEO — Begriffsbestimmungen</w:t>
      </w:r>
    </w:p>
    <w:p>
      <w:r>
        <w:rPr>
          <w:color w:val="555555"/>
          <w:sz w:val="18"/>
        </w:rPr>
        <w:t xml:space="preserve">Binnenschiffseichordnung</w:t>
      </w:r>
    </w:p>
    <w:p>
      <w:r>
        <w:rPr>
          <w:color w:val="555555"/>
          <w:sz w:val="18"/>
        </w:rPr>
        <w:t xml:space="preserve">Stand: 21.10.2025 (konsolidierte Textfassung, kein amtliches Inkrafttretensdatum)</w:t>
      </w:r>
    </w:p>
    <w:p>
      <w:r>
        <w:t xml:space="preserve">Im Sinne dieser Verordnung sind:</w:t>
      </w:r>
    </w:p>
    <w:p>
      <w:pPr>
        <w:ind w:left="420"/>
      </w:pPr>
      <w:r>
        <w:t xml:space="preserve">1. „Eichung“die Feststellung der von einem Schiff nach Maßgabe seiner Eintauchung verdrängten Wassermenge;</w:t>
      </w:r>
    </w:p>
    <w:p>
      <w:pPr>
        <w:ind w:left="420"/>
      </w:pPr>
      <w:r>
        <w:t xml:space="preserve">2. „Übereinkommen“das Übereinkommen vom 15. Februar 1966 über die Eichung von Binnenschiffen (Bundesgesetzblatt 1973 II S. 1417), das für die Bundesrepublik Deutschland am 19. April 1975 in Kraft getreten ist;</w:t>
      </w:r>
    </w:p>
    <w:p>
      <w:pPr>
        <w:ind w:left="420"/>
      </w:pPr>
      <w:r>
        <w:t xml:space="preserve">3. „Zentralstelle“die Generaldirektion Wasserstraßen und Schifffahrt;</w:t>
      </w:r>
    </w:p>
    <w:p>
      <w:pPr>
        <w:ind w:left="420"/>
      </w:pPr>
      <w:r>
        <w:t xml:space="preserve">4. „Schiffe“Binnenschiffe, die zur Beförderung von Gütern bestimmt sind, und andere auf Binnenwasserstraßen verkehrende Fahrzeuge (z. B. Fahrgastschiffe, Fähren, schwimmende Geräte, Schlepper, Schubboote);</w:t>
      </w:r>
    </w:p>
    <w:p>
      <w:pPr>
        <w:ind w:left="420"/>
      </w:pPr>
      <w:r>
        <w:t xml:space="preserve">5. „Antragsberechtigte“der Schiffseigentümer, der Schiffseigner oder eine von ihnen beauftragte Person;</w:t>
      </w:r>
    </w:p>
    <w:p>
      <w:pPr>
        <w:ind w:left="420"/>
      </w:pPr>
      <w:r>
        <w:t xml:space="preserve">6. „Schiffsregisterordnung“Schiffsregisterordnung in der Fassung der Bekanntmachung vom 26. Mai 1994 (BGBl. I S. 1133), die zuletzt durch Artikel 2 des Gesetzes vom 20. Dezember 2012 (BGBl. I S. 2792) geändert worden ist, in der jeweils geltenden Fassung;</w:t>
      </w:r>
    </w:p>
    <w:p>
      <w:pPr>
        <w:ind w:left="420"/>
      </w:pPr>
      <w:r>
        <w:t xml:space="preserve">7. Mess- und EichgesetzMess- und Eichgesetz vom 25. Juli 2013 (BGBl. I S. 2722, 2723), das zuletzt durch Artikel 38 des Gesetzes vom 23. Oktober 2024 (BGBl. 2024 I Nr. 323) geändert worden ist, in der jeweils geltenden Fassung;</w:t>
      </w:r>
    </w:p>
    <w:p>
      <w:pPr>
        <w:ind w:left="420"/>
      </w:pPr>
      <w:r>
        <w:t xml:space="preserve">8. „Binnenschiffsuntersuchungsordnung“Binnenschiffsuntersuchungsordnung vom 21. September 2018 (BGBl. I S. 1398, 2032), die zuletzt durch Artikel 1 der Verordnung vom 5. Januar 2022 (BGBl. I S. 2) geändert worden ist, in der jeweils geltenden und anzuwendenden Fassung.</w:t>
      </w:r>
    </w:p>
    <w:p>
      <w:r>
        <w:rPr>
          <w:color w:val="555555"/>
          <w:sz w:val="17"/>
        </w:rPr>
        <w:t xml:space="preserve">Zitiervorschlag: § 1 BinSchEO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https://recht.nulegal.eu/gesetze/BinSchEO/1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