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BinSchEÜbkG</w:t>
      </w:r>
    </w:p>
    <w:p>
      <w:r>
        <w:rPr>
          <w:color w:val="555555"/>
          <w:sz w:val="18"/>
        </w:rPr>
        <w:t xml:space="preserve">Gesetz zu dem Übereinkommen vom 15. Februar 1966 über die Eichung von Binnenschiffen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 Rechtsverordnungen, die auf Grund dieses Gesetzes erlassen werden, gelten im Land Berlin nach § 14 des Dritten Überleitungsgesetzes vom 4. Januar 1952 (Bundesgesetzbl. I S. 1).</w:t>
      </w:r>
    </w:p>
    <w:p>
      <w:r>
        <w:rPr>
          <w:color w:val="555555"/>
          <w:sz w:val="17"/>
        </w:rPr>
        <w:t xml:space="preserve">Zitiervorschlag: Art 3 BinSchEÜbkG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https://recht.nulegal.eu/gesetze/BinSchE%C3%9CbkG/3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BinSchEÜbkG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