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BinSchAusbV 2022 — Prüfungsbereiche des Teiles 2</w:t>
      </w:r>
    </w:p>
    <w:p>
      <w:r>
        <w:rPr>
          <w:color w:val="555555"/>
          <w:sz w:val="18"/>
        </w:rPr>
        <w:t xml:space="preserve">Binnenschifferausbildungsverordnung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„Störungsanalyse und Instandsetzung“,</w:t>
      </w:r>
    </w:p>
    <w:p>
      <w:pPr>
        <w:ind w:left="420"/>
      </w:pPr>
      <w:r>
        <w:t xml:space="preserve">2. in einem der Prüfungsbereiche</w:t>
      </w:r>
    </w:p>
    <w:p>
      <w:pPr>
        <w:ind w:left="780"/>
      </w:pPr>
      <w:r>
        <w:t xml:space="preserve">a) „Schwerpunkt Frachtschifffahrt“ oder</w:t>
      </w:r>
    </w:p>
    <w:p>
      <w:pPr>
        <w:ind w:left="780"/>
      </w:pPr>
      <w:r>
        <w:t xml:space="preserve">b) „Schwerpunkt Personenschifffahrt“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10 BinSchAusbV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https://recht.nulegal.eu/gesetze/BinSchAusbV%202022/10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BinSchAusbV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