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BinSchArbZV</w:t>
      </w:r>
    </w:p>
    <w:p>
      <w:r>
        <w:rPr>
          <w:color w:val="555555"/>
          <w:sz w:val="18"/>
        </w:rPr>
        <w:t xml:space="preserve">Binnenschifffahrts-Arbeitszeitverordnung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21 Absatz 1 des Arbeitszeitgesetzes, der durch Artikel 12a Nummer 1 des Gesetzes vom 11. November 2016 (BGBl. I S. 2500) neu gefasst worden ist, verordnet die Bundesregierung:</w:t>
      </w:r>
    </w:p>
    <w:p>
      <w:r>
        <w:rPr>
          <w:color w:val="555555"/>
          <w:sz w:val="17"/>
        </w:rPr>
        <w:t xml:space="preserve">Zitiervorschlag: Eingangsformel BinSchArbZV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https://recht.nulegal.eu/gesetze/BinSchArbZV/eingangsformel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