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BinSchArbZV — Anwendung des Arbeitszeitgesetzes</w:t>
      </w:r>
    </w:p>
    <w:p>
      <w:r>
        <w:rPr>
          <w:color w:val="555555"/>
          <w:sz w:val="18"/>
        </w:rPr>
        <w:t xml:space="preserve">Binnenschifffahrts-Arbeitszeitverordnung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Für die Beschäftigung von Arbeitnehmern und Arbeitnehmerinnen im Sinne des § 1 ist das Arbeitszeitgesetz anzuwenden, soweit im Folgenden nichts anderes geregelt ist.</w:t>
      </w:r>
    </w:p>
    <w:p>
      <w:r>
        <w:rPr>
          <w:color w:val="555555"/>
          <w:sz w:val="17"/>
        </w:rPr>
        <w:t xml:space="preserve">Zitiervorschlag: § 2 BinSchArbZV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https://recht.nulegal.eu/gesetze/BinSchArbZV/2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