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BilKoUmV — Mindest- und Höchstumlagebetrag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21.09.2021 (konsolidierte Textfassung, kein amtliches Inkrafttretensdatum)</w:t>
      </w:r>
    </w:p>
    <w:p>
      <w:r>
        <w:t xml:space="preserve">Unbeschadet des § 6 beträgt der Umlagebetrag mindestens 250 Euro.</w:t>
      </w:r>
    </w:p>
    <w:p>
      <w:r>
        <w:rPr>
          <w:color w:val="555555"/>
          <w:sz w:val="17"/>
        </w:rPr>
        <w:t xml:space="preserve">Zitiervorschlag: § 7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