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BilKoUmV — Bemessung des Umlagebetrags</w:t>
      </w:r>
    </w:p>
    <w:p>
      <w:r>
        <w:rPr>
          <w:color w:val="555555"/>
          <w:sz w:val="18"/>
        </w:rPr>
        <w:t xml:space="preserve">Bilanzkontrollkosten-Umlageverordnung</w:t>
      </w:r>
    </w:p>
    <w:p>
      <w:r>
        <w:rPr>
          <w:color w:val="555555"/>
          <w:sz w:val="18"/>
        </w:rPr>
        <w:t xml:space="preserve">Stand: 10.06.2019 (konsolidierte Textfassung, kein amtliches Inkrafttretensdatum)</w:t>
      </w:r>
    </w:p>
    <w:p>
      <w:r>
        <w:t xml:space="preserve">Für die Berechnung des Umlagebetrags gemäß § 3 ist die Höhe aller in einem Umlagejahr an den inländischen Börsen angefallenen Börsenumsätze von Wertpapieren des Umlagepflichtigen maßgebend, die an einer inländischen Börse zum Handel im regulierten Markt zugelassen sind. Der Umlagebetrag bemisst sich vorbehaltlich der Regelungen des § 7 nach dem Verhältnis der Höhe der Börsenumsätze des einzelnen Umlagepflichtigen zur Gesamthöhe der Börsenumsätze aller Umlagepflichtigen.</w:t>
      </w:r>
    </w:p>
    <w:p>
      <w:r>
        <w:rPr>
          <w:color w:val="555555"/>
          <w:sz w:val="17"/>
        </w:rPr>
        <w:t xml:space="preserve">Zitiervorschlag: § 6 BilKoUmV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https://recht.nulegal.eu/gesetze/BilKoUmV/6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