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BilKoUmV — Umlagebetrag</w:t>
      </w:r>
    </w:p>
    <w:p>
      <w:r>
        <w:rPr>
          <w:color w:val="555555"/>
          <w:sz w:val="18"/>
        </w:rPr>
        <w:t xml:space="preserve">Bilanzkontrollkosten-Umlageverordnung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Umlagebetrag ist der Anteil der umlagefähigen Kosten, den ein Umlagepflichtiger zu entrichten hat.</w:t>
      </w:r>
    </w:p>
    <w:p>
      <w:r>
        <w:rPr>
          <w:color w:val="555555"/>
          <w:sz w:val="17"/>
        </w:rPr>
        <w:t xml:space="preserve">Zitiervorschlag: § 3 BilKoUmV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https://recht.nulegal.eu/gesetze/BilKoUmV/3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