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BilKoUmV — Inkrafttreten</w:t>
      </w:r>
    </w:p>
    <w:p>
      <w:r>
        <w:rPr>
          <w:color w:val="555555"/>
          <w:sz w:val="18"/>
        </w:rPr>
        <w:t xml:space="preserve">Bilanzkontrollkosten-Umlageverordnung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15 BilKoUmV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https://recht.nulegal.eu/gesetze/BilKoUmV/15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