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BilKoUmV — Übergangsbestimmungen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21.09.2021 (konsolidierte Textfassung, kein amtliches Inkrafttretensdatum)</w:t>
      </w:r>
    </w:p>
    <w:p>
      <w:r>
        <w:t xml:space="preserve">(1) Auf die Umlageerhebung für das Jahr 2005 sind die §§ 5 und 9 mit folgenden Maßgaben anzuwenden:</w:t>
      </w:r>
    </w:p>
    <w:p>
      <w:pPr>
        <w:ind w:left="420"/>
      </w:pPr>
      <w:r>
        <w:t xml:space="preserve">1. Abweichend von § 5 ist Stichtag für die Umlagepflicht im Sinn des § 17d Abs. 1 Satz 1 des Finanzdienstleistungsaufsichtsgesetzes der Tag nach dem Inkrafttreten dieser Verordnung.</w:t>
      </w:r>
    </w:p>
    <w:p>
      <w:pPr>
        <w:ind w:left="420"/>
      </w:pPr>
      <w:r>
        <w:t xml:space="preserve">2. Die Festsetzung der Umlagevorauszahlung für das Umlagejahr 2005 erfolgt auf der Grundlage des gemäß § 17a Satz 1 des Finanzdienstleistungsaufsichtsgesetzes auszuweisenden gesonderten Teils des Haushaltsplans für das Jahr 2005 unter Berücksichtigung der Kosten nach § 17d Abs. 4 des Finanzdienstleistungsaufsichtsgesetzes. Auf den Gesamtbetrag der Kosten im Sinn des Satzes 1 ist ein Zuschlag für Zahlungsausfälle in Höhe von 20 Prozent zu erheben.</w:t>
      </w:r>
    </w:p>
    <w:p>
      <w:pPr>
        <w:ind w:left="420"/>
      </w:pPr>
      <w:r>
        <w:t xml:space="preserve">3. Vorauszahlungspflichtig ist, wer umlagepflichtig ist.</w:t>
      </w:r>
    </w:p>
    <w:p>
      <w:pPr>
        <w:ind w:left="420"/>
      </w:pPr>
      <w:r>
        <w:t xml:space="preserve">4. Für die Verteilung der voraussichtlichen Kosten im Sinn der Nummer 2, die auf die Vorauszahlungspflichtigen umzulegen sind, ist § 9 Abs. 3 auf der Grundlage der Börsenumsätze des Jahres 2004 anzuwenden.</w:t>
      </w:r>
    </w:p>
    <w:p>
      <w:pPr>
        <w:ind w:left="420"/>
      </w:pPr>
      <w:r>
        <w:t xml:space="preserve">5. Der nach Nummer 2 festgesetzte Vorauszahlungsbetrag wird zu einem Zeitpunkt fällig, der von der Bundesanstalt zu bestimmen ist.</w:t>
      </w:r>
    </w:p>
    <w:p>
      <w:r>
        <w:t xml:space="preserve">(2) Auf die Umlageerhebung für das Jahr 2006 ist § 9 mit folgenden Maßgaben anzuwenden:</w:t>
      </w:r>
    </w:p>
    <w:p>
      <w:pPr>
        <w:ind w:left="420"/>
      </w:pPr>
      <w:r>
        <w:t xml:space="preserve">1. Vorauszahlungspflichtig ist, wer im Jahr 2005 umlagepflichtig war.</w:t>
      </w:r>
    </w:p>
    <w:p>
      <w:pPr>
        <w:ind w:left="420"/>
      </w:pPr>
      <w:r>
        <w:t xml:space="preserve">2. Für die Verteilung der voraussichtlichen Kosten im Sinn des § 9 Abs. 1 Satz 2, die auf die einzelnen Vorauszahlungspflichtigen umzulegen sind, ist § 9 Abs. 3 auf der Grundlage der Börsenumsätze des Jahres 2004 anzuwenden.</w:t>
      </w:r>
    </w:p>
    <w:p>
      <w:r>
        <w:t xml:space="preserve">(3) § 1 in der ab dem 26. November 2015 geltenden Fassung ist erstmals auf die Umlageerhebung für das Umlagejahr 2016 anzuwenden.</w:t>
      </w:r>
    </w:p>
    <w:p>
      <w:r>
        <w:t xml:space="preserve">(4) § 7 in der ab dem 1. Juli 2021 geltenden Fassung ist erstmals auf die Umlagefestsetzung sowie -vorauszahlung nach § 9 Absatz 5 für das Umlagejahr 2021 anzuwenden.</w:t>
      </w:r>
    </w:p>
    <w:p>
      <w:r>
        <w:rPr>
          <w:color w:val="555555"/>
          <w:sz w:val="17"/>
        </w:rPr>
        <w:t xml:space="preserve">Zitiervorschlag: § 14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