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BilKoUmV — Säumniszuschläge und Beitreibung</w:t>
      </w:r>
    </w:p>
    <w:p>
      <w:r>
        <w:rPr>
          <w:color w:val="555555"/>
          <w:sz w:val="18"/>
        </w:rPr>
        <w:t xml:space="preserve">Bilanzkontrollkosten-Umlageverordnung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zum Zeitpunkt ihrer Fälligkeit nicht eingegangene Beträge erhebt die Bundesanstalt Säumniszuschläge; § 16 des Bundesgebührengesetzes ist entsprechend anzuwenden.</w:t>
      </w:r>
    </w:p>
    <w:p>
      <w:r>
        <w:t xml:space="preserve">(2) Nicht fristgerecht entrichtete Beträge werden nach den Vorschriften des Verwaltungs-Vollstreckungsgesetzes durch die Bundesanstalt beigetrieben. Vollstreckungsbehörde ist das für den Sitz oder die Niederlassung des Vollstreckungsschuldners zuständige Hauptzollamt.</w:t>
      </w:r>
    </w:p>
    <w:p>
      <w:r>
        <w:rPr>
          <w:color w:val="555555"/>
          <w:sz w:val="17"/>
        </w:rPr>
        <w:t xml:space="preserve">Zitiervorschlag: § 13 BilKoUmV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https://recht.nulegal.eu/gesetze/BilKoUmV/13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