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BilKoUmV — Differenzausgleich im Verhältnis zu den Umlagepflichtigen</w:t>
      </w:r>
    </w:p>
    <w:p>
      <w:r>
        <w:rPr>
          <w:color w:val="555555"/>
          <w:sz w:val="18"/>
        </w:rPr>
        <w:t xml:space="preserve">Bilanzkontrollkosten-Umlageverordnung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von einem Umlagepflichtigen geleistete Vorauszahlung niedriger als der festgesetzte Umlagebetrag, so hat der Umlagepflichtige der Bundesanstalt den insoweit entstandenen Differenzbetrag auszugleichen.</w:t>
      </w:r>
    </w:p>
    <w:p>
      <w:r>
        <w:t xml:space="preserve">(2) Übersteigt die von einem Umlagepflichtigen geleistete Umlagevorauszahlung den Umlagebetrag, so hat ihm die Bundesanstalt die Überzahlung zu erstatten. Satz 1 gilt entsprechend für die Umlagevorauszahlung eines Vorauszahlungspflichtigen, der für das Umlagejahr nicht umlagepflichtig war.</w:t>
      </w:r>
    </w:p>
    <w:p>
      <w:r>
        <w:rPr>
          <w:color w:val="555555"/>
          <w:sz w:val="17"/>
        </w:rPr>
        <w:t xml:space="preserve">Zitiervorschlag: § 11 BilKoUmV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https://recht.nulegal.eu/gesetze/BilKoUmV/11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