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BilKoUmV — Differenzausgleich im Verhältnis zur Prüfstelle</w:t>
      </w:r>
    </w:p>
    <w:p>
      <w:r>
        <w:rPr>
          <w:color w:val="555555"/>
          <w:sz w:val="18"/>
        </w:rPr>
        <w:t xml:space="preserve">Bilanzkontrollkosten-Umlageverordnung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Ergibt sich, dass die gemäß § 342d Satz 3 des Handelsgesetzbuchs von der Bundesanstalt geleistete Vorschusszahlung nicht die Kosten deckt, die zur Erfüllung der Aufgaben der Prüfstelle nach § 342b des Handelsgesetzbuchs erforderlich waren, so hat die Bundesanstalt den insoweit entstandenen Fehlbetrag aus der von ihr eingezogenen Umlage gegenüber der Prüfstelle auszugleichen. Die Kosten nach Satz 1 ergeben sich aus der gemäß Anerkennungsvertrag von der Prüfstelle zu erstellenden Einnahmen- und Ausgabenrechnung.</w:t>
      </w:r>
    </w:p>
    <w:p>
      <w:r>
        <w:t xml:space="preserve">(2) Die Prüfstelle hat Überzahlungen aus der gemäß § 342d Satz 3 des Handelsgesetzbuchs an sie geleisteten Vorschusszahlung an die Bundesanstalt zu erstatten, sobald die Entlastung gemäß § 342d Satz 5 des Handelsgesetzbuchs vorliegt.</w:t>
      </w:r>
    </w:p>
    <w:p>
      <w:r>
        <w:rPr>
          <w:color w:val="555555"/>
          <w:sz w:val="17"/>
        </w:rPr>
        <w:t xml:space="preserve">Zitiervorschlag: § 10 BilKoUmV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https://recht.nulegal.eu/gesetze/BilKoUmV/10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