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BilKoUmV — Anwendungsbereich</w:t>
      </w:r>
    </w:p>
    <w:p>
      <w:r>
        <w:rPr>
          <w:color w:val="555555"/>
          <w:sz w:val="18"/>
        </w:rPr>
        <w:t xml:space="preserve">Bilanzkontrollkosten-Umlageverordnung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Umlegung der in § 17d Abs. 1 Satz 1 und Abs. 4 des Finanzdienstleistungsaufsichtsgesetzes aufgeführten Kosten der Bundesanstalt für Finanzdienstleistungsaufsicht (Bundesanstalt) und der auf der Grundlage des § 342b Abs. 1 Satz 1 des Handelsgesetzbuchs anerkannten Prüfstelle für Rechnungslegung (Prüfstelle) auf die in § 17d Absatz 1 Satz 1 und 2 des Finanzdienstleistungsaufsichtsgesetzes genannten Umlagepflichtigen sowie den Differenzausgleich zwischen Umlagevorauszahlung und Umlagefestsetzung im Hinblick auf die von der Bundesanstalt an die Prüfstelle gemäß § 342d Satz 3 des Handelsgesetzbuchs zu leistende Vorschusszahlung.</w:t>
      </w:r>
    </w:p>
    <w:p>
      <w:r>
        <w:rPr>
          <w:color w:val="555555"/>
          <w:sz w:val="17"/>
        </w:rPr>
        <w:t xml:space="preserve">Zitiervorschlag: § 1 BilKoUmV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https://recht.nulegal.eu/gesetze/BilKoUmV/1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