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BierV</w:t>
      </w:r>
    </w:p>
    <w:p>
      <w:r>
        <w:rPr>
          <w:color w:val="555555"/>
          <w:sz w:val="18"/>
        </w:rPr>
        <w:t xml:space="preserve">Bierverordnung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Bundesminister für Jugend, Familie, Frauen und Gesundheit verordnet auf Grund des § 12 Abs. 1 Nr. 1 und Abs. 3, des § 16 Abs. 1 Satz 2 und des § 19 Nr. 1 und 4 Buchstabe a und b des Lebensmittel- und Bedarfsgegenständegesetzes vom 15. August 1974 (BGBl. I S. 1945, 1946) im Einvernehmen mit den Bundesministern für Ernährung, Landwirtschaft und Forsten und für Wirtschaft sowie auf Grund des Artikels 4 Abs. 1 Nr. 8 und 9 und Abs. 2 des Gesetzes zur Gesamtreform des Lebensmittelrechts vom 15. August 1974 (BGBl. I S. 1945) auch im Einvernehmen mit dem Bundesminister der Finanzen:</w:t>
      </w:r>
    </w:p>
    <w:p>
      <w:r>
        <w:rPr>
          <w:color w:val="555555"/>
          <w:sz w:val="17"/>
        </w:rPr>
        <w:t xml:space="preserve">Zitiervorschlag: Eingangsformel BierV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https://recht.nulegal.eu/gesetze/BierV/eingangsformel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