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BierV — Kenntlichmachung der Biergattungen</w:t>
      </w:r>
    </w:p>
    <w:p>
      <w:r>
        <w:rPr>
          <w:color w:val="555555"/>
          <w:sz w:val="18"/>
        </w:rPr>
        <w:t xml:space="preserve">Bierverordnung</w:t>
      </w:r>
    </w:p>
    <w:p>
      <w:r>
        <w:rPr>
          <w:color w:val="555555"/>
          <w:sz w:val="18"/>
        </w:rPr>
        <w:t xml:space="preserve">Stand: 10.06.2019 (konsolidierte Textfassung, kein amtliches Inkrafttretensdatum)</w:t>
      </w:r>
    </w:p>
    <w:p>
      <w:r>
        <w:t xml:space="preserve">(1) Bier mit einem Stammwürzegehalt von weniger als 7 vom Hundert darf nur unter der Bezeichnung "Bier mit niedrigem Stammwürzegehalt", Bier mit einem Stammwürzegehalt von 7 oder mehr als 7, aber weniger als 11 vom Hundert darf nur unter der Bezeichnung "Schankbier" gewerbsmäßig in den Verkehr gebracht werden.</w:t>
      </w:r>
    </w:p>
    <w:p>
      <w:r>
        <w:t xml:space="preserve">(2) Bier darf unter der Bezeichnung "Starkbier", "Bockbier" oder einer sonstigen Bezeichnung, die den Anschein erweckt, als ob das Bier besonders stark eingebraut sei, gewerbsmäßig nur in den Verkehr gebracht werden, wenn der Stammwürzegehalt 16 vom Hundert oder mehr beträgt.</w:t>
      </w:r>
    </w:p>
    <w:p>
      <w:r>
        <w:t xml:space="preserve">(3)</w:t>
      </w:r>
    </w:p>
    <w:p>
      <w:r>
        <w:rPr>
          <w:color w:val="555555"/>
          <w:sz w:val="17"/>
        </w:rPr>
        <w:t xml:space="preserve">Zitiervorschlag: § 3 BierV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https://recht.nulegal.eu/gesetze/BierV/3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