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BierStV 2010 — Übergangsregelungen</w:t>
      </w:r>
    </w:p>
    <w:p>
      <w:r>
        <w:rPr>
          <w:color w:val="555555"/>
          <w:sz w:val="18"/>
        </w:rPr>
        <w:t xml:space="preserve">Biersteuerverordnung</w:t>
      </w:r>
    </w:p>
    <w:p>
      <w:r>
        <w:rPr>
          <w:color w:val="555555"/>
          <w:sz w:val="18"/>
        </w:rPr>
        <w:t xml:space="preserve">Stand: 13.02.2023 (konsolidierte Textfassung, kein amtliches Inkrafttretensdatum)</w:t>
      </w:r>
    </w:p>
    <w:p>
      <w:r>
        <w:t xml:space="preserve">Für Beförderungen von Bier des steuerrechtlich freien Verkehrs aus anderen, in andere oder über andere Mitgliedstaaten, die vor dem 13. Februar 2023 begonnen worden sind, gilt diese Verordnung in der am 12. Februar 2023 geltenden Fassung bis zum 31. Dezember 2023 fort.</w:t>
      </w:r>
    </w:p>
    <w:p>
      <w:r>
        <w:rPr>
          <w:color w:val="555555"/>
          <w:sz w:val="17"/>
        </w:rPr>
        <w:t xml:space="preserve">Zitiervorschlag: § 53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