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BierStV 2010 — Antrag auf Erlaubnis zur steuerfreien Verwendung</w:t>
      </w:r>
    </w:p>
    <w:p>
      <w:r>
        <w:rPr>
          <w:color w:val="555555"/>
          <w:sz w:val="18"/>
        </w:rPr>
        <w:t xml:space="preserve">Biersteuerverordnung</w:t>
      </w:r>
    </w:p>
    <w:p>
      <w:r>
        <w:rPr>
          <w:color w:val="555555"/>
          <w:sz w:val="18"/>
        </w:rPr>
        <w:t xml:space="preserve">Stand: 09.11.2022 (konsolidierte Textfassung, kein amtliches Inkrafttretensdatum)</w:t>
      </w:r>
    </w:p>
    <w:p>
      <w:r>
        <w:t xml:space="preserve">(1) Wer Bier steuerfrei verwenden will, hat die Erlaubnis vor Beginn der Verwendung nach amtlich vorgeschriebenem Vordruck beim Hauptzollamt zu beantragen. Dem Antrag sind in doppelter Ausfertigung beizufügen:</w:t>
      </w:r>
    </w:p>
    <w:p>
      <w:pPr>
        <w:ind w:left="420"/>
      </w:pPr>
      <w:r>
        <w:t xml:space="preserve">1. ein Plan des Betriebs, in dem die beantragten Lager und Verwendungsorte des Bieres eingezeichnet sind, mit Angabe der Anschriften,</w:t>
      </w:r>
    </w:p>
    <w:p>
      <w:pPr>
        <w:ind w:left="420"/>
      </w:pPr>
      <w:r>
        <w:t xml:space="preserve">2. eine Betriebserklärung über den genauen Zweck und die Art und Weise der Verwendung.</w:t>
      </w:r>
    </w:p>
    <w:p>
      <w:r>
        <w:t xml:space="preserve">Arzneimittelhersteller haben außerdem ihre arzneimittelrechtliche Herstellungsberechtigung nachzuweisen. Auf Antrag des Verwenders kann in den Fällen des § 23 Absatz 1 Nummer 3 des Gesetzes von einer Vergällung abgesehen werden. Die Erlaubnis zur steuerfreien Verwendung kann im Rahmen einer Erlaubnis als Steuerlagerinhaber erteilt werden, wenn mit dem Antrag die Unterlagen nach Satz 2 Nummer 1 und 2 vorgelegt werden.</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rPr>
          <w:color w:val="555555"/>
          <w:sz w:val="17"/>
        </w:rPr>
        <w:t xml:space="preserve">Zitiervorschlag: § 39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