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35f BierStV 2010 — Beförderung im Ausfallverfahren</w:t>
      </w:r>
    </w:p>
    <w:p>
      <w:r>
        <w:rPr>
          <w:color w:val="555555"/>
          <w:sz w:val="18"/>
        </w:rPr>
        <w:t xml:space="preserve">Biersteuerverordnung</w:t>
      </w:r>
    </w:p>
    <w:p>
      <w:r>
        <w:rPr>
          <w:color w:val="555555"/>
          <w:sz w:val="18"/>
        </w:rPr>
        <w:t xml:space="preserve">Stand: 13.02.2023 (konsolidierte Textfassung, kein amtliches Inkrafttretensdatum)</w:t>
      </w:r>
    </w:p>
    <w:p>
      <w:r>
        <w:t xml:space="preserve">Steht das EDV-gestützte Beförderungs- und Kontrollsystem nicht zur Verfügung und kann das vereinfachte elektronische Verwaltungsdokument somit nicht angewendet werden, gelten für das Ausfallverfahren die §§ 25, 27 und 28 entsprechend. In diesem Fall sind Ausfalldokumente nach amtlich vorgeschriebenem Vordruck zu verwenden.</w:t>
      </w:r>
    </w:p>
    <w:p>
      <w:r>
        <w:rPr>
          <w:color w:val="555555"/>
          <w:sz w:val="17"/>
        </w:rPr>
        <w:t xml:space="preserve">Zitiervorschlag: § 35f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https://recht.nulegal.eu/gesetze/BierStV%202010/35f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