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BierStV 2010 — Kleinbetragsregelung</w:t>
      </w:r>
    </w:p>
    <w:p>
      <w:r>
        <w:rPr>
          <w:color w:val="555555"/>
          <w:sz w:val="18"/>
        </w:rPr>
        <w:t xml:space="preserve">Biersteuerverordnung</w:t>
      </w:r>
    </w:p>
    <w:p>
      <w:r>
        <w:rPr>
          <w:color w:val="555555"/>
          <w:sz w:val="18"/>
        </w:rPr>
        <w:t xml:space="preserve">Stand: 09.11.2022 (konsolidierte Textfassung, kein amtliches Inkrafttretensdatum)</w:t>
      </w:r>
    </w:p>
    <w:p>
      <w:r>
        <w:t xml:space="preserve">Eine angemeldete oder festgesetzte Steuer wird vom Hauptzollamt nur abweichend festgesetzt, geändert oder berichtigt, wenn die Abweichung von der angemeldeten oder festgesetzten Steuer mindestens 25 Euro beträgt.</w:t>
      </w:r>
    </w:p>
    <w:p>
      <w:r>
        <w:rPr>
          <w:color w:val="555555"/>
          <w:sz w:val="17"/>
        </w:rPr>
        <w:t xml:space="preserve">Zitiervorschlag: § 32 BierStV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https://recht.nulegal.eu/gesetze/BierStV%202010/32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