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BierStV 2010 — Ersatznachweise für die Beendigung der Beförderung</w:t>
      </w:r>
    </w:p>
    <w:p>
      <w:r>
        <w:rPr>
          <w:color w:val="555555"/>
          <w:sz w:val="18"/>
        </w:rPr>
        <w:t xml:space="preserve">Biersteuerverordnung</w:t>
      </w:r>
    </w:p>
    <w:p>
      <w:r>
        <w:rPr>
          <w:color w:val="555555"/>
          <w:sz w:val="18"/>
        </w:rPr>
        <w:t xml:space="preserve">Stand: 13.02.2023 (konsolidierte Textfassung, kein amtliches Inkrafttretensdatum)</w:t>
      </w:r>
    </w:p>
    <w:p>
      <w:r>
        <w:t xml:space="preserve">(1) Liegt kein Nachweis nach § 22 Absatz 6 vor, bestätigt das für den Empfänger zuständige Hauptzollamt oder das Hauptzollamt, in dessen Bezirk sich die Ausgangszollstelle befindet, in den Fällen, in denen keine Eingangs- oder Ausfuhrmeldung nach § 28 vorliegt, die Beendigung der Beförderung unter Steueraussetzung, wenn durch einen Ersatznachweis hinreichend belegt ist, dass das Bier</w:t>
      </w:r>
    </w:p>
    <w:p>
      <w:pPr>
        <w:ind w:left="420"/>
      </w:pPr>
      <w:r>
        <w:t xml:space="preserve">1. den angegebenen Bestimmungsort erreicht hat oder</w:t>
      </w:r>
    </w:p>
    <w:p>
      <w:pPr>
        <w:ind w:left="420"/>
      </w:pPr>
      <w:r>
        <w:t xml:space="preserve">2. das Verbrauchsteuergebiet der Europäischen Union verlassen hat oder in das externe Versandverfahren nach Artikel 226 Absatz 2 des Unionszollkodex überführt wurde, sofern dies nach Artikel 189 Absatz 4 der Delegierten Verordnung zum Unionszollkodex vorgesehen war.</w:t>
      </w:r>
    </w:p>
    <w:p>
      <w:r>
        <w:t xml:space="preserve">(2) Als hinreichender Ersatznachweis nach Satz 1 Nummer 1 gilt insbesondere ein vom Empfänger vorgelegtes Dokument, das dieselben Angaben enthält wie eine Eingangsmeldung und in dem der Empfänger den Empfang des Bieres bestätigt. Als hinreichender Ersatznachweis nach Satz 1 Nummer 2 gilt insbesondere ein Sichtvermerk der Ausgangszollstelle, der bestätigt, dass das Bier das Verbrauchsteuergebiet der Europäischen Union verlassen hat oder in das externe Versandverfahren nach Artikel 226 Absatz 2 des Unionszollkodex überführt wurde, sofern dies nach Artikel 189 Absatz 4 der Delegierten Verordnung zum Unionszollkodex vorgesehen war.</w:t>
      </w:r>
    </w:p>
    <w:p>
      <w:r>
        <w:rPr>
          <w:color w:val="555555"/>
          <w:sz w:val="17"/>
        </w:rPr>
        <w:t xml:space="preserve">Zitiervorschlag: § 29 BierStV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https://recht.nulegal.eu/gesetze/BierStV%202010/29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