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19 BierStV 2010 — Art und Höhe der Sicherheitsleistung</w:t>
      </w:r>
    </w:p>
    <w:p>
      <w:r>
        <w:rPr>
          <w:color w:val="555555"/>
          <w:sz w:val="18"/>
        </w:rPr>
        <w:t xml:space="preserve">Biersteuerverordnung</w:t>
      </w:r>
    </w:p>
    <w:p>
      <w:r>
        <w:rPr>
          <w:color w:val="555555"/>
          <w:sz w:val="18"/>
        </w:rPr>
        <w:t xml:space="preserve">Stand: 09.11.2022 (konsolidierte Textfassung, kein amtliches Inkrafttretensdatum)</w:t>
      </w:r>
    </w:p>
    <w:p>
      <w:r>
        <w:t xml:space="preserve">(1) Die Sicherheit für Beförderungen von Bier unter Steueraussetzung kann für mehrere Verfahren als Gesamtbürgschaft oder für jedes Verfahren einzeln als Einzelbürgschaft oder als Barsicherheit geleistet werden.</w:t>
      </w:r>
    </w:p>
    <w:p>
      <w:r>
        <w:t xml:space="preserve">(2) Die Sicherheit als Gesamtbürgschaft oder Einzelbürgschaft wird durch eine selbstschuldnerische Bürgschaft eines tauglichen Steuerbürgen nach § 244 der Abgabenordnung geleistet. Die Bürgschaft ist in einer Urkunde nach amtlich vorgeschriebenem Vordruck bei dem für den Versender zuständigen Hauptzollamt zu leisten.</w:t>
      </w:r>
    </w:p>
    <w:p>
      <w:r>
        <w:t xml:space="preserve">(3) Das Hauptzollamt bestimmt die Höhe der Bürgschaftssumme und die Höhe der Barsicherheit, insbesondere unter Berücksichtigung der Steuer, die bei der Überführung des Bieres in den steuerrechtlich freien Verkehr im Steuergebiet entstehen würde. Die Angemessenheit der Bürgschaftssumme ist im Fall der Gesamtbürgschaft regelmäßig zu überprüfen.</w:t>
      </w:r>
    </w:p>
    <w:p>
      <w:r>
        <w:rPr>
          <w:color w:val="555555"/>
          <w:sz w:val="17"/>
        </w:rPr>
        <w:t xml:space="preserve">Zitiervorschlag: § 19 BierStV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https://recht.nulegal.eu/gesetze/BierStV%202010/19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19 BierStV 2010</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