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BierStG 2009 — Ordnungswidrigkeiten</w:t>
      </w:r>
    </w:p>
    <w:p>
      <w:r>
        <w:rPr>
          <w:color w:val="555555"/>
          <w:sz w:val="18"/>
        </w:rPr>
        <w:t xml:space="preserve">Biersteuergesetz</w:t>
      </w:r>
    </w:p>
    <w:p>
      <w:r>
        <w:rPr>
          <w:color w:val="555555"/>
          <w:sz w:val="18"/>
        </w:rPr>
        <w:t xml:space="preserve">Stand: 13.02.2023 (konsolidierte Textfassung, kein amtliches Inkrafttretensdatum)</w:t>
      </w:r>
    </w:p>
    <w:p>
      <w:r>
        <w:t xml:space="preserve">Ordnungswidrig im Sinn des § 381 Absatz 1 Nummer 1 der Abgabenordnung handelt, wer vorsätzlich oder leichtfertig</w:t>
      </w:r>
    </w:p>
    <w:p>
      <w:pPr>
        <w:ind w:left="420"/>
      </w:pPr>
      <w:r>
        <w:t xml:space="preserve">1. entgegen § 10 Absatz 3, § 11 Absatz 4, § 12 Absatz 2 oder § 20c Absatz 4 Bier nicht oder nicht rechtzeitig aufnimmt, nicht oder nicht rechtzeitig übernimmt, nicht oder nicht rechtzeitig befördert oder nicht oder nicht rechtzeitig ausführt oder</w:t>
      </w:r>
    </w:p>
    <w:p>
      <w:pPr>
        <w:ind w:left="420"/>
      </w:pPr>
      <w:r>
        <w:t xml:space="preserve">2. entgegen § 21 Absatz 2 Satz 4, auch in Verbindung mit Satz 8, eine Anzeige nicht, nicht richtig, nicht vollständig oder nicht rechtzeitig erstattet.</w:t>
      </w:r>
    </w:p>
    <w:p>
      <w:r>
        <w:rPr>
          <w:color w:val="555555"/>
          <w:sz w:val="17"/>
        </w:rPr>
        <w:t xml:space="preserve">Zitiervorschlag: § 30 BierStG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https://recht.nulegal.eu/gesetze/BierStG%202009/30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