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23a BierStG 2009 — Verwender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Bier in den Fällen des § 23 Absatz 1 steuerfrei verwenden will, bedarf einer Erlaubnis. Sie wird auf Antrag unter Widerrufsvorbehalt Personen erteilt, gegen deren steuerliche Zuverlässigkeit keine Bedenken bestehen.</w:t>
      </w:r>
    </w:p>
    <w:p>
      <w:r>
        <w:t xml:space="preserve">(2) Die Erlaubnis ist zu widerrufen, wenn die in Absatz 1 Satz 2 genannte Voraussetzung nicht mehr erfüllt ist.</w:t>
      </w:r>
    </w:p>
    <w:p>
      <w:r>
        <w:t xml:space="preserve">(3) Die Steuer entsteht, wenn das Bier entgegen der in der Erlaubnis vorgesehenen Zweckbestimmung verwendet wird oder dieser nicht mehr zugeführt werden kann, es sei denn, es liegt ein Fall des § 14 Absatz 3 vor. Kann der Verbleib des Bieres nicht festgestellt werden, so gilt es als nicht der vorgesehenen Zweckbestimmung zugeführt. Der zweckwidrigen Verwendung nach Satz 1 steht die Verwendung ohne die vorgeschriebene Vergällung gleich. Steuerschuldner ist der Verwender. Er hat unverzüglich eine Steueranmeldung abzugeben. Die Steuer ist sofort fällig.</w:t>
      </w:r>
    </w:p>
    <w:p>
      <w:r>
        <w:t xml:space="preserve">(4) Das Bundesministerium der Finanzen wird ermächtigt, durch Rechtsverordnung mit Zustimmung des Bundesrates</w:t>
      </w:r>
    </w:p>
    <w:p>
      <w:pPr>
        <w:ind w:left="420"/>
      </w:pPr>
      <w:r>
        <w:t xml:space="preserve">1. zur Sicherung des Steueraufkommens und zur Wahrung der Gleichmäßigkeit der Besteuerung</w:t>
      </w:r>
    </w:p>
    <w:p>
      <w:pPr>
        <w:ind w:left="780"/>
      </w:pPr>
      <w:r>
        <w:t xml:space="preserve">a) das Erlaubnis- und das Verwendungsverfahren sowie das Steueranmeldungsverfahren zu regeln,</w:t>
      </w:r>
    </w:p>
    <w:p>
      <w:pPr>
        <w:ind w:left="780"/>
      </w:pPr>
      <w:r>
        <w:t xml:space="preserve">b) für Betriebe, die Bier verwenden und zugleich Ausschank und Kleinhandel betreiben, eine besondere Überwachung vorzuschreiben,</w:t>
      </w:r>
    </w:p>
    <w:p>
      <w:pPr>
        <w:ind w:left="780"/>
      </w:pPr>
      <w:r>
        <w:t xml:space="preserve">c) für Betriebe, die Bier unvergällt zur steuerfreien Verwendung beziehen oder einsetzen, die Leistung einer Sicherheit zu verlangen;</w:t>
      </w:r>
    </w:p>
    <w:p>
      <w:pPr>
        <w:ind w:left="420"/>
      </w:pPr>
      <w:r>
        <w:t xml:space="preserve">2. zur Verwaltungs- und Verfahrensvereinfachung</w:t>
      </w:r>
    </w:p>
    <w:p>
      <w:pPr>
        <w:ind w:left="780"/>
      </w:pPr>
      <w:r>
        <w:t xml:space="preserve">a) Mindestmengen für die Verwendung von Bier vorzuschreiben,</w:t>
      </w:r>
    </w:p>
    <w:p>
      <w:pPr>
        <w:ind w:left="780"/>
      </w:pPr>
      <w:r>
        <w:t xml:space="preserve">b) die steuerbefreite Verwendung unter Verzicht auf Einzelerlaubnisse allgemein zuzulassen.</w:t>
      </w:r>
    </w:p>
    <w:p>
      <w:r>
        <w:rPr>
          <w:color w:val="555555"/>
          <w:sz w:val="17"/>
        </w:rPr>
        <w:t xml:space="preserve">Zitiervorschlag: § 23a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https://recht.nulegal.eu/gesetze/BierStG%202009/23a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23a BierStG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