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BierStDB</w:t>
      </w:r>
    </w:p>
    <w:p>
      <w:r>
        <w:rPr>
          <w:color w:val="555555"/>
          <w:sz w:val="18"/>
        </w:rPr>
        <w:t xml:space="preserve">Verordnung zur Durchführung des Vorläufigen Biergesetzes</w:t>
      </w:r>
    </w:p>
    <w:p>
      <w:r>
        <w:rPr>
          <w:color w:val="555555"/>
          <w:sz w:val="18"/>
        </w:rPr>
        <w:t xml:space="preserve">Stand: 10.06.2019 (konsolidierte Textfassung, kein amtliches Inkrafttretensdatum)</w:t>
      </w:r>
    </w:p>
    <w:p>
      <w:r>
        <w:t xml:space="preserve">Der Stammwürzegehalt des Bieres ist der Gehalt der ungegorenen Anstellwürze, aus der das Bier hergestellt ist oder nach seiner Beschaffenheit hätte hergestellt sein können, an löslichen Stoffen in Gewichtshundertteilen. Er wird aus dem Restextraktgehalt (Gehalt an nicht flüchtigen gelösten Stoffen) und dem Alkoholgehalt des Bieres errechnet. Nachträgliche Verminderungen des Alkoholgehalts werden dabei nicht berücksichtigt.</w:t>
      </w:r>
    </w:p>
    <w:p>
      <w:r>
        <w:rPr>
          <w:color w:val="555555"/>
          <w:sz w:val="17"/>
        </w:rPr>
        <w:t xml:space="preserve">Zitiervorschlag: § 8 BierStDB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https://recht.nulegal.eu/gesetze/BierStDB/8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