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BierStDB</w:t>
      </w:r>
    </w:p>
    <w:p>
      <w:r>
        <w:rPr>
          <w:color w:val="555555"/>
          <w:sz w:val="18"/>
        </w:rPr>
        <w:t xml:space="preserve">Verordnung zur Durchführung des Vorläufigen Biergesetzes</w:t>
      </w:r>
    </w:p>
    <w:p>
      <w:r>
        <w:rPr>
          <w:color w:val="555555"/>
          <w:sz w:val="18"/>
        </w:rPr>
        <w:t xml:space="preserve">Stand: 10.06.2019 (konsolidierte Textfassung, kein amtliches Inkrafttretensdatum)</w:t>
      </w:r>
    </w:p>
    <w:p>
      <w:r>
        <w:t xml:space="preserve">(1) Die Verwendung von Rückständen, die bei der Bereitung obergärigen Bieres verbleiben, zu dem anderes Malz als Gerstenmalz oder zu dem Zucker verwendet wurde, ist bei der Bereitung untergärigen Bieres nicht zulässig.</w:t>
      </w:r>
    </w:p>
    <w:p>
      <w:pPr>
        <w:ind w:left="420"/>
      </w:pPr>
      <w:r>
        <w:t xml:space="preserve">(2) bis (4) (weggefallen)</w:t>
      </w:r>
    </w:p>
    <w:p>
      <w:r>
        <w:rPr>
          <w:color w:val="555555"/>
          <w:sz w:val="17"/>
        </w:rPr>
        <w:t xml:space="preserve">Zitiervorschlag: § 20 BierStDB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https://recht.nulegal.eu/gesetze/BierStDB/20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