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BierStDB</w:t>
      </w:r>
    </w:p>
    <w:p>
      <w:r>
        <w:rPr>
          <w:color w:val="555555"/>
          <w:sz w:val="18"/>
        </w:rPr>
        <w:t xml:space="preserve">Verordnung zur Durchführung des Vorläufigen Biergesetzes</w:t>
      </w:r>
    </w:p>
    <w:p>
      <w:r>
        <w:rPr>
          <w:color w:val="555555"/>
          <w:sz w:val="18"/>
        </w:rPr>
        <w:t xml:space="preserve">Stand: 10.06.2019 (konsolidierte Textfassung, kein amtliches Inkrafttretensdatum)</w:t>
      </w:r>
    </w:p>
    <w:p>
      <w:r>
        <w:t xml:space="preserve">Rüben-, Rohr- oder Invertzucker ist technisch rein, wenn er mindestens 99,5 Gewichtshundertteile Zucker, bezogen auf den Trockenstoff, enthält. Stärkezucker ist der aus natürlicher Stärke gewonnene Zucker. Es ist zulässig, den Zucker auch in der Form von wäßrigen Lösungen zu verwenden.</w:t>
      </w:r>
    </w:p>
    <w:p>
      <w:r>
        <w:rPr>
          <w:color w:val="555555"/>
          <w:sz w:val="17"/>
        </w:rPr>
        <w:t xml:space="preserve">Zitiervorschlag: § 18 BierStDB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https://recht.nulegal.eu/gesetze/BierStDB/18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