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 BierStDB</w:t>
      </w:r>
    </w:p>
    <w:p>
      <w:r>
        <w:rPr>
          <w:color w:val="555555"/>
          <w:sz w:val="18"/>
        </w:rPr>
        <w:t xml:space="preserve">Verordnung zur Durchführung des Vorläufigen Biergesetzes</w:t>
      </w:r>
    </w:p>
    <w:p>
      <w:r>
        <w:rPr>
          <w:color w:val="555555"/>
          <w:sz w:val="18"/>
        </w:rPr>
        <w:t xml:space="preserve">Stand: 09.06.2021 (konsolidierte Textfassung, kein amtliches Inkrafttretensdatum)</w:t>
      </w:r>
    </w:p>
    <w:p>
      <w:r>
        <w:t xml:space="preserve">(1) Bei der Bereitung von Bier dürfen, soweit im § 9 Abs. 7 und 8 des Gesetzes nicht Ausnahmen vorgesehen sind, nur die im § 9 Abs. 1, 2 und 4 des Gesetzes zugelassenen Braustoffe und Brauersatzstoffe verwendet werden. Die Vorschriften der Lebensmittelzusatzstoff-Durchführungsverordnung sind anzuwenden. Farbebier muß aus Gerstenmalz, Hopfen, untergäriger Hefe und Wasser hergestellt werden, es muß vergoren sein.</w:t>
      </w:r>
    </w:p>
    <w:p>
      <w:r>
        <w:t xml:space="preserve">(2) Die zulässigen Braustoffe müssen in der Beschaffenheit verwendet werden, in der ihnen die im Gesetz gewählte Bezeichnung zukommt.</w:t>
      </w:r>
    </w:p>
    <w:p>
      <w:r>
        <w:t xml:space="preserve">(3) Das Malz darf sowohl in ganzen, enthülsten oder unenthülsten Körnern, wie auch zerkleinert, trocken, angefeuchtet, ungedarrt, gedarrt und geröstet verwendet werden.</w:t>
      </w:r>
    </w:p>
    <w:p>
      <w:r>
        <w:t xml:space="preserve">(4) Zur Bereitung von obergärigem Bier darf Malz auch aus anderem Getreide als Gerste verwendet werden. Reis, Mais oder Dari gelten nicht als Getreide im Sinne des § 9 Abs. 3 des Gesetzes.</w:t>
      </w:r>
    </w:p>
    <w:p>
      <w:r>
        <w:rPr>
          <w:color w:val="555555"/>
          <w:sz w:val="17"/>
        </w:rPr>
        <w:t xml:space="preserve">Zitiervorschlag: § 17 BierStDB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https://recht.nulegal.eu/gesetze/BierStDB/17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