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BienSeuchV</w:t>
      </w:r>
    </w:p>
    <w:p>
      <w:r>
        <w:rPr>
          <w:color w:val="555555"/>
          <w:sz w:val="18"/>
        </w:rPr>
        <w:t xml:space="preserve">Bienenseuchen-Verordnung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zu befürchten, dass sich die Amerikanische Faulbrut, die Acariose (Milbenseuche), die Varroatose, der Kleine Beutenkäfer oder die Tropilaelaps-Milbe ausgebreitet hat oder ausbreitet, kann die zuständige Behörde eine amtliche Untersuchung aller Bienenvölker und Bienenstände des verdächtigen Gebietes anordnen.</w:t>
      </w:r>
    </w:p>
    <w:p>
      <w:r>
        <w:rPr>
          <w:color w:val="555555"/>
          <w:sz w:val="17"/>
        </w:rPr>
        <w:t xml:space="preserve">Zitiervorschlag: § 3 BienSeuchV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https://recht.nulegal.eu/gesetze/BienSeuchV/3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