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BienSeuchV</w:t>
      </w:r>
    </w:p>
    <w:p>
      <w:r>
        <w:rPr>
          <w:color w:val="555555"/>
          <w:sz w:val="18"/>
        </w:rPr>
        <w:t xml:space="preserve">Bienenseuchen-Verordnung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Ist der Befall mit der Tropilaelaps-Milbe in einem Bienenstand amtlich festgestellt, erklärt die zuständige Behörde das Gebiet in einem Umkreis von mindestens einem Kilometer um den Bienenstand zum Sperrbezirk.</w:t>
      </w:r>
    </w:p>
    <w:p>
      <w:r>
        <w:t xml:space="preserve">(2) Für den Sperrbezirk gilt, dass Bienenvölker und Bienen nur mit Genehmigung der zuständigen Behörde</w:t>
      </w:r>
    </w:p>
    <w:p>
      <w:pPr>
        <w:ind w:left="420"/>
      </w:pPr>
      <w:r>
        <w:t xml:space="preserve">1. aus dem Sperrbezirk entfernt oder</w:t>
      </w:r>
    </w:p>
    <w:p>
      <w:pPr>
        <w:ind w:left="420"/>
      </w:pPr>
      <w:r>
        <w:t xml:space="preserve">2. in den Sperrbezirk verbracht</w:t>
      </w:r>
    </w:p>
    <w:p>
      <w:r>
        <w:t xml:space="preserve">werden dürfen.</w:t>
      </w:r>
    </w:p>
    <w:p>
      <w:r>
        <w:t xml:space="preserve">(3) Die zuständige Behörde kann ferner unter Berücksichtigung der Befallssituation anordnen, dass</w:t>
      </w:r>
    </w:p>
    <w:p>
      <w:pPr>
        <w:ind w:left="420"/>
      </w:pPr>
      <w:r>
        <w:t xml:space="preserve">1. im Sperrbezirk oder in Teilen des Sperrbezirks alle Bienenvölker zu behandeln sind;</w:t>
      </w:r>
    </w:p>
    <w:p>
      <w:pPr>
        <w:ind w:left="420"/>
      </w:pPr>
      <w:r>
        <w:t xml:space="preserve">2. Bienenbrut oder Gemüll von Bienenvölkern des Sperrbezirks zur Untersuchung an eine von ihr bestimmte Untersuchungseinrichtung einzusenden sind.</w:t>
      </w:r>
    </w:p>
    <w:p>
      <w:r>
        <w:rPr>
          <w:color w:val="555555"/>
          <w:sz w:val="17"/>
        </w:rPr>
        <w:t xml:space="preserve">Zitiervorschlag: § 24 BienSeuchV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https://recht.nulegal.eu/gesetze/BienSeuchV/24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