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Angeordnete Schutzmaßregeln sind aufzuheben, wenn die Amerikanische Faulbrut erloschen ist.</w:t>
      </w:r>
    </w:p>
    <w:p>
      <w:r>
        <w:t xml:space="preserve">(2) Die Amerikanische Faulbrut im Bienenstand gilt als erloschen, wenn</w:t>
      </w:r>
    </w:p>
    <w:p>
      <w:pPr>
        <w:ind w:left="420"/>
      </w:pPr>
      <w:r>
        <w:t xml:space="preserve">1. alle Bienenvölker des verseuchten Bienenstandes verendet oder getötet und unschädlich beseitigt worden sind oder</w:t>
      </w:r>
    </w:p>
    <w:p>
      <w:pPr>
        <w:ind w:left="420"/>
      </w:pPr>
      <w:r>
        <w:t xml:space="preserve">2. die an der Seuche erkrankten Bienenvölker des verseuchten Bienenstandes</w:t>
      </w:r>
    </w:p>
    <w:p>
      <w:pPr>
        <w:ind w:left="780"/>
      </w:pPr>
      <w:r>
        <w:t xml:space="preserve">a) verendet oder getötet und unschädlich beseitigt oder</w:t>
      </w:r>
    </w:p>
    <w:p>
      <w:pPr>
        <w:ind w:left="780"/>
      </w:pPr>
      <w:r>
        <w:t xml:space="preserve">b) behandelt worden sind und</w:t>
      </w:r>
    </w:p>
    <w:p>
      <w:pPr>
        <w:ind w:left="780"/>
      </w:pPr>
      <w:r>
        <w:t xml:space="preserve">c) die Untersuchung nach § 9 Abs. 2 einen negativen Befund ergeben hatund</w:t>
      </w:r>
    </w:p>
    <w:p>
      <w:pPr>
        <w:ind w:left="420"/>
      </w:pPr>
      <w:r>
        <w:t xml:space="preserve">3. die Entseuchung unter amtlicher Überwachung durchgeführt und vom beamteten Tierarzt abgenommen worden ist.</w:t>
      </w:r>
    </w:p>
    <w:p>
      <w:r>
        <w:t xml:space="preserve">(3) Die Amerikanische Faulbrut im Sperrbezirk gilt als erloschen, wenn die Voraussetzungen des Absatzes 2 erfüllt sind und die Untersuchungen nach § 11 Abs. 1 Nr. 1 einen negativen Befund ergeben haben.</w:t>
      </w:r>
    </w:p>
    <w:p>
      <w:r>
        <w:rPr>
          <w:color w:val="555555"/>
          <w:sz w:val="17"/>
        </w:rPr>
        <w:t xml:space="preserve">Zitiervorschlag: § 12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