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BienBelV (Brandenburg) — Datenverarbeitung</w:t>
      </w:r>
    </w:p>
    <w:p>
      <w:r>
        <w:rPr>
          <w:color w:val="555555"/>
          <w:sz w:val="18"/>
        </w:rPr>
        <w:t xml:space="preserve">Verordnung über die Anerkennung von Bienenbelegstellen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Verarbeitung personenbezogener Daten erfolgt nach den</w:t>
      </w:r>
    </w:p>
    <w:p>
      <w:r>
        <w:t xml:space="preserve">Vorschriften des Brandenburgischen Datenschutzgesetzes.</w:t>
      </w:r>
    </w:p>
    <w:p>
      <w:r>
        <w:rPr>
          <w:color w:val="555555"/>
          <w:sz w:val="17"/>
        </w:rPr>
        <w:t xml:space="preserve">Zitiervorschlag: § 3 BienBelV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https://recht.nulegal.eu/gesetze/BienBelV/3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