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BibuchhFPrV</w:t>
      </w:r>
    </w:p>
    <w:p>
      <w:r>
        <w:rPr>
          <w:color w:val="555555"/>
          <w:sz w:val="18"/>
        </w:rPr>
        <w:t xml:space="preserve">Bilanzbuchhalterprüfungsverordnung</w:t>
      </w:r>
    </w:p>
    <w:p>
      <w:r>
        <w:rPr>
          <w:color w:val="555555"/>
          <w:sz w:val="18"/>
        </w:rPr>
        <w:t xml:space="preserve">Historische Fassung: Stand 10.06.2019 bis 24.12.2020. Dies ist nicht die aktuelle Fassung.</w:t>
      </w:r>
    </w:p>
    <w:p>
      <w:r>
        <w:t xml:space="preserve">Auf Grund des § 53 Absatz 1 in Verbindung mit Absatz 2 und des § 30 Absatz 5 des Berufsbildungsgesetzes, von denen § 53 Absatz 1 zuletzt durch Artikel 436 Nummer 4 Buchstabe a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BibuchhFPrV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https://recht.nulegal.eu/gesetze/BibuchhFPrV/eingangsformel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