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BibuBAProFPrV — Ausbildereignung</w:t>
      </w:r>
    </w:p>
    <w:p>
      <w:r>
        <w:rPr>
          <w:color w:val="555555"/>
          <w:sz w:val="18"/>
        </w:rPr>
        <w:t xml:space="preserve">Bilanzbuchhalter-Bachelor Professional in Bilanzbuchhaltung-Fortbildungsprüfungsverordnung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Wer die Prüfung nach dieser Verordnung bestanden hat, ist vom schriftlichen Teil der Prüfung der Ausbilder-Eignungsverordnung befreit.</w:t>
      </w:r>
    </w:p>
    <w:p>
      <w:r>
        <w:rPr>
          <w:color w:val="555555"/>
          <w:sz w:val="17"/>
        </w:rPr>
        <w:t xml:space="preserve">Zitiervorschlag: § 13 BibuBAProFPrV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https://recht.nulegal.eu/gesetze/BibuBAProFPrV/13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