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BibuBAProFPrV — Zeugnisse</w:t>
      </w:r>
    </w:p>
    <w:p>
      <w:r>
        <w:rPr>
          <w:color w:val="555555"/>
          <w:sz w:val="18"/>
        </w:rPr>
        <w:t xml:space="preserve">Bilanzbuchhalter-Bachelor Professional in Bilanzbuchhaltung-Fortbildungsprüfungsverordnung</w:t>
      </w:r>
    </w:p>
    <w:p>
      <w:r>
        <w:rPr>
          <w:color w:val="555555"/>
          <w:sz w:val="18"/>
        </w:rPr>
        <w:t xml:space="preserve">Stand: 24.12.2020 (konsolidierte Textfassung, kein amtliches Inkrafttretensdatum)</w:t>
      </w:r>
    </w:p>
    <w:p>
      <w:r>
        <w:t xml:space="preserve">(1) Wer die Prüfung nach § 10 Absatz 1 bestanden hat, erhält von der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und die Gesamtnote als Dezimalzahl mit einer Nachkommastelle und in Worten anzugeben. Jede Befreiung nach § 8 ist mit Ort, Datum und der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11 BibuBAProFPrV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https://recht.nulegal.eu/gesetze/BibuBAProFPrV/11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