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BfWebVO (Sachsen)</w:t>
      </w:r>
    </w:p>
    <w:p>
      <w:r>
        <w:rPr>
          <w:color w:val="555555"/>
          <w:sz w:val="18"/>
        </w:rPr>
        <w:t xml:space="preserve">Barrierefreie-Websites-Verordnung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des § 5 Nummer 1 bis 4 des Barrierefreie-Websites-Gesetzes vom 10. April 2019 (SächsGVBl. S. 266) verordnet die Staatskanzlei im Einvernehmen mit dem Staatsministerium für Soziales und Gesellschaftlichen Zusammenhalt, dem Staatsministerium für Kultus und dem Staatsministerium für Wissenschaft, Kultur und Tourismus:</w:t>
      </w:r>
    </w:p>
    <w:p>
      <w:r>
        <w:rPr>
          <w:color w:val="555555"/>
          <w:sz w:val="17"/>
        </w:rPr>
        <w:t xml:space="preserve">Zitiervorschlag: Eingangsformel BfWebVO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https://recht.nulegal.eu/gesetze/BfWebVO/eingangsformel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