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BfWebVO (Sachsen) — Inkrafttreten</w:t>
      </w:r>
    </w:p>
    <w:p>
      <w:r>
        <w:rPr>
          <w:color w:val="555555"/>
          <w:sz w:val="18"/>
        </w:rPr>
        <w:t xml:space="preserve">Barrierefreie-Websites-Verordnung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31. Mai 2021</w:t>
      </w:r>
    </w:p>
    <w:p>
      <w:r>
        <w:t xml:space="preserve">Der Chef der Staatskanzlei</w:t>
      </w:r>
    </w:p>
    <w:p>
      <w:r>
        <w:t xml:space="preserve">Oliver Schenk</w:t>
      </w:r>
    </w:p>
    <w:p>
      <w:r>
        <w:rPr>
          <w:color w:val="555555"/>
          <w:sz w:val="17"/>
        </w:rPr>
        <w:t xml:space="preserve">Zitiervorschlag: § 6 BfWebVO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https://recht.nulegal.eu/gesetze/BfWebVO/6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